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7C6331" w:rsidRDefault="007C6331" w:rsidP="007C6331">
      <w:pPr>
        <w:tabs>
          <w:tab w:val="left" w:pos="0"/>
        </w:tabs>
        <w:jc w:val="center"/>
        <w:rPr>
          <w:i/>
          <w:iCs/>
          <w:sz w:val="28"/>
          <w:szCs w:val="28"/>
        </w:rPr>
      </w:pPr>
      <w:r>
        <w:rPr>
          <w:sz w:val="28"/>
          <w:szCs w:val="28"/>
        </w:rPr>
        <w:object w:dxaOrig="67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>
            <v:imagedata r:id="rId5" o:title=""/>
          </v:shape>
          <o:OLEObject Type="Embed" ProgID="PBrush" ShapeID="_x0000_i1025" DrawAspect="Content" ObjectID="_1788263945" r:id="rId6"/>
        </w:object>
      </w:r>
    </w:p>
    <w:p w:rsidR="007C6331" w:rsidRDefault="007C6331" w:rsidP="007C6331">
      <w:pPr>
        <w:jc w:val="center"/>
        <w:outlineLvl w:val="0"/>
        <w:rPr>
          <w:b/>
          <w:bCs/>
          <w:spacing w:val="40"/>
          <w:sz w:val="28"/>
          <w:szCs w:val="28"/>
        </w:rPr>
      </w:pPr>
      <w:r>
        <w:rPr>
          <w:b/>
          <w:bCs/>
          <w:spacing w:val="40"/>
          <w:sz w:val="28"/>
          <w:szCs w:val="28"/>
        </w:rPr>
        <w:t>КОМУНАЛЬНЕ НЕКОМЕРЦІЙНЕ ПІДПРИЄМСТВО</w:t>
      </w:r>
    </w:p>
    <w:p w:rsidR="007C6331" w:rsidRDefault="007C6331" w:rsidP="007C6331">
      <w:pPr>
        <w:jc w:val="center"/>
        <w:outlineLvl w:val="0"/>
        <w:rPr>
          <w:b/>
          <w:bCs/>
          <w:spacing w:val="40"/>
          <w:sz w:val="28"/>
          <w:szCs w:val="28"/>
        </w:rPr>
      </w:pPr>
      <w:r>
        <w:rPr>
          <w:b/>
          <w:bCs/>
          <w:spacing w:val="40"/>
          <w:sz w:val="28"/>
          <w:szCs w:val="28"/>
        </w:rPr>
        <w:t>«БУЧАНСЬКИЙ ЦЕНТР СОЦІАЛЬНИХ ПОСЛУГ</w:t>
      </w:r>
    </w:p>
    <w:p w:rsidR="007C6331" w:rsidRDefault="007C6331" w:rsidP="007C6331">
      <w:pPr>
        <w:jc w:val="center"/>
        <w:outlineLvl w:val="0"/>
        <w:rPr>
          <w:b/>
          <w:bCs/>
          <w:spacing w:val="40"/>
          <w:sz w:val="28"/>
          <w:szCs w:val="28"/>
        </w:rPr>
      </w:pPr>
      <w:r>
        <w:rPr>
          <w:b/>
          <w:bCs/>
          <w:spacing w:val="40"/>
          <w:sz w:val="28"/>
          <w:szCs w:val="28"/>
        </w:rPr>
        <w:t>ТА ПСИХОЛОГІЧНОЇ ДОПОМОГИ»</w:t>
      </w:r>
    </w:p>
    <w:p w:rsidR="007C6331" w:rsidRDefault="007C6331" w:rsidP="007C6331">
      <w:pPr>
        <w:jc w:val="center"/>
        <w:outlineLvl w:val="0"/>
        <w:rPr>
          <w:b/>
          <w:bCs/>
          <w:i/>
          <w:iCs/>
          <w:spacing w:val="40"/>
          <w:sz w:val="28"/>
          <w:szCs w:val="28"/>
        </w:rPr>
      </w:pPr>
      <w:r>
        <w:rPr>
          <w:b/>
          <w:bCs/>
          <w:spacing w:val="40"/>
          <w:sz w:val="28"/>
          <w:szCs w:val="28"/>
        </w:rPr>
        <w:t>БУЧАНСЬКОЇ МІСЬКОЇ РАДИ</w:t>
      </w:r>
    </w:p>
    <w:p w:rsidR="007C6331" w:rsidRDefault="007C6331" w:rsidP="007C6331">
      <w:pPr>
        <w:ind w:hanging="426"/>
        <w:jc w:val="center"/>
        <w:outlineLvl w:val="0"/>
        <w:rPr>
          <w:sz w:val="20"/>
        </w:rPr>
      </w:pPr>
      <w:r>
        <w:rPr>
          <w:sz w:val="20"/>
        </w:rPr>
        <w:t xml:space="preserve">вул. Енергетиків  19, м. Буча, </w:t>
      </w:r>
      <w:proofErr w:type="spellStart"/>
      <w:r>
        <w:rPr>
          <w:sz w:val="20"/>
        </w:rPr>
        <w:t>Бучанський</w:t>
      </w:r>
      <w:proofErr w:type="spellEnd"/>
      <w:r>
        <w:rPr>
          <w:sz w:val="20"/>
        </w:rPr>
        <w:t xml:space="preserve"> район, Київська область, 08292, </w:t>
      </w:r>
    </w:p>
    <w:p w:rsidR="007C6331" w:rsidRDefault="007C6331" w:rsidP="007C6331">
      <w:pPr>
        <w:ind w:hanging="426"/>
        <w:jc w:val="center"/>
        <w:outlineLvl w:val="0"/>
        <w:rPr>
          <w:i/>
          <w:iCs/>
          <w:sz w:val="20"/>
        </w:rPr>
      </w:pPr>
      <w:proofErr w:type="spellStart"/>
      <w:r>
        <w:rPr>
          <w:sz w:val="20"/>
        </w:rPr>
        <w:t>тел</w:t>
      </w:r>
      <w:proofErr w:type="spellEnd"/>
      <w:r>
        <w:rPr>
          <w:sz w:val="20"/>
        </w:rPr>
        <w:t>. (04597) 48307</w:t>
      </w:r>
    </w:p>
    <w:p w:rsidR="007C6331" w:rsidRDefault="007C6331" w:rsidP="007C6331">
      <w:pPr>
        <w:ind w:hanging="426"/>
        <w:jc w:val="center"/>
        <w:outlineLvl w:val="0"/>
        <w:rPr>
          <w:sz w:val="20"/>
          <w:u w:val="single"/>
          <w:lang w:val="en-US"/>
        </w:rPr>
      </w:pPr>
      <w:r>
        <w:rPr>
          <w:sz w:val="20"/>
        </w:rPr>
        <w:t>e-</w:t>
      </w:r>
      <w:proofErr w:type="spellStart"/>
      <w:r>
        <w:rPr>
          <w:sz w:val="20"/>
        </w:rPr>
        <w:t>mail</w:t>
      </w:r>
      <w:proofErr w:type="spellEnd"/>
      <w:r>
        <w:rPr>
          <w:sz w:val="20"/>
        </w:rPr>
        <w:t xml:space="preserve">: </w:t>
      </w:r>
      <w:hyperlink r:id="rId7" w:history="1">
        <w:r w:rsidRPr="000D4F87">
          <w:rPr>
            <w:rStyle w:val="a3"/>
            <w:sz w:val="20"/>
            <w:lang w:val="en-US"/>
          </w:rPr>
          <w:t>bcsspa@bucha-rada.gov</w:t>
        </w:r>
        <w:r w:rsidRPr="000D4F87">
          <w:rPr>
            <w:rStyle w:val="a3"/>
            <w:sz w:val="20"/>
          </w:rPr>
          <w:t>.</w:t>
        </w:r>
        <w:proofErr w:type="spellStart"/>
        <w:r w:rsidRPr="000D4F87">
          <w:rPr>
            <w:rStyle w:val="a3"/>
            <w:sz w:val="20"/>
          </w:rPr>
          <w:t>ua</w:t>
        </w:r>
        <w:proofErr w:type="spellEnd"/>
      </w:hyperlink>
    </w:p>
    <w:p w:rsidR="007C6331" w:rsidRPr="00141A4A" w:rsidRDefault="007C6331" w:rsidP="007C6331">
      <w:pPr>
        <w:ind w:hanging="426"/>
        <w:jc w:val="center"/>
        <w:outlineLvl w:val="0"/>
        <w:rPr>
          <w:sz w:val="20"/>
        </w:rPr>
      </w:pPr>
      <w:r>
        <w:rPr>
          <w:sz w:val="20"/>
        </w:rPr>
        <w:t>код  ЄДРПОУ 44947332</w:t>
      </w:r>
    </w:p>
    <w:tbl>
      <w:tblPr>
        <w:tblW w:w="0" w:type="auto"/>
        <w:tblBorders>
          <w:top w:val="thinThickMediumGap" w:sz="12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7C6331" w:rsidTr="00BB0516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7C6331" w:rsidRDefault="007C6331" w:rsidP="00BB0516"/>
        </w:tc>
      </w:tr>
    </w:tbl>
    <w:p w:rsidR="00FA76A7" w:rsidRDefault="00FA76A7"/>
    <w:p w:rsidR="007C6331" w:rsidRPr="007C6331" w:rsidRDefault="007C6331" w:rsidP="007C6331">
      <w:pPr>
        <w:jc w:val="center"/>
        <w:rPr>
          <w:b/>
          <w:sz w:val="26"/>
          <w:szCs w:val="26"/>
        </w:rPr>
      </w:pPr>
      <w:r w:rsidRPr="007C6331">
        <w:rPr>
          <w:b/>
          <w:sz w:val="26"/>
          <w:szCs w:val="26"/>
        </w:rPr>
        <w:t>Пояснювальна записка до фінансового плану на 202</w:t>
      </w:r>
      <w:r w:rsidR="00D5391A">
        <w:rPr>
          <w:b/>
          <w:sz w:val="26"/>
          <w:szCs w:val="26"/>
        </w:rPr>
        <w:t>5</w:t>
      </w:r>
      <w:r w:rsidRPr="007C6331">
        <w:rPr>
          <w:b/>
          <w:sz w:val="26"/>
          <w:szCs w:val="26"/>
        </w:rPr>
        <w:t xml:space="preserve"> рік</w:t>
      </w:r>
    </w:p>
    <w:p w:rsidR="007C6331" w:rsidRDefault="007C6331"/>
    <w:p w:rsidR="007C6331" w:rsidRDefault="007C6331" w:rsidP="00F25B57">
      <w:pPr>
        <w:jc w:val="both"/>
        <w:rPr>
          <w:b/>
          <w:i/>
          <w:sz w:val="26"/>
          <w:szCs w:val="26"/>
        </w:rPr>
      </w:pPr>
      <w:r w:rsidRPr="007C6331">
        <w:rPr>
          <w:b/>
          <w:i/>
          <w:sz w:val="26"/>
          <w:szCs w:val="26"/>
        </w:rPr>
        <w:t>Загальна інформація про підприємство</w:t>
      </w:r>
    </w:p>
    <w:p w:rsidR="007C6331" w:rsidRDefault="00292A9E" w:rsidP="00F25B57">
      <w:pPr>
        <w:jc w:val="both"/>
        <w:rPr>
          <w:sz w:val="26"/>
          <w:szCs w:val="26"/>
        </w:rPr>
      </w:pPr>
      <w:r>
        <w:rPr>
          <w:sz w:val="26"/>
          <w:szCs w:val="26"/>
        </w:rPr>
        <w:t>Комунальне некомерційне підприємство «</w:t>
      </w:r>
      <w:proofErr w:type="spellStart"/>
      <w:r>
        <w:rPr>
          <w:sz w:val="26"/>
          <w:szCs w:val="26"/>
        </w:rPr>
        <w:t>Бучанський</w:t>
      </w:r>
      <w:proofErr w:type="spellEnd"/>
      <w:r>
        <w:rPr>
          <w:sz w:val="26"/>
          <w:szCs w:val="26"/>
        </w:rPr>
        <w:t xml:space="preserve"> центр соціальних послуг та психологічної допомоги» Бучанської міської ради (далі КНП «БЦСППД»БМР)</w:t>
      </w:r>
      <w:r w:rsidR="00115312">
        <w:rPr>
          <w:sz w:val="26"/>
          <w:szCs w:val="26"/>
        </w:rPr>
        <w:t>, створеним відповідно до рішення Бучанської міської ради від 01.06.2023р. № 3509-44-</w:t>
      </w:r>
      <w:r w:rsidR="00115312">
        <w:rPr>
          <w:sz w:val="26"/>
          <w:szCs w:val="26"/>
          <w:lang w:val="en-US"/>
        </w:rPr>
        <w:t>VIII</w:t>
      </w:r>
      <w:r>
        <w:rPr>
          <w:sz w:val="26"/>
          <w:szCs w:val="26"/>
        </w:rPr>
        <w:t xml:space="preserve"> та зареєстрован</w:t>
      </w:r>
      <w:r w:rsidR="00115312">
        <w:rPr>
          <w:sz w:val="26"/>
          <w:szCs w:val="26"/>
        </w:rPr>
        <w:t>о</w:t>
      </w:r>
      <w:r>
        <w:rPr>
          <w:sz w:val="26"/>
          <w:szCs w:val="26"/>
        </w:rPr>
        <w:t xml:space="preserve"> 11.07.2023р.</w:t>
      </w:r>
    </w:p>
    <w:p w:rsidR="00292A9E" w:rsidRDefault="00292A9E" w:rsidP="00F25B57">
      <w:pPr>
        <w:jc w:val="both"/>
        <w:rPr>
          <w:sz w:val="26"/>
          <w:szCs w:val="26"/>
        </w:rPr>
      </w:pPr>
    </w:p>
    <w:p w:rsidR="00292A9E" w:rsidRDefault="00292A9E" w:rsidP="00F25B57">
      <w:pPr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Основні види діяльності за КВЕД 2010:</w:t>
      </w:r>
    </w:p>
    <w:p w:rsidR="00292A9E" w:rsidRPr="00292A9E" w:rsidRDefault="00292A9E" w:rsidP="00F25B57">
      <w:pPr>
        <w:jc w:val="both"/>
        <w:rPr>
          <w:sz w:val="26"/>
          <w:szCs w:val="26"/>
        </w:rPr>
      </w:pPr>
      <w:r w:rsidRPr="00292A9E">
        <w:rPr>
          <w:sz w:val="26"/>
          <w:szCs w:val="26"/>
        </w:rPr>
        <w:t>88.10 «Надання соціальної допомоги без забезпечення проживання для осіб похилого віку та інвалідів»</w:t>
      </w:r>
    </w:p>
    <w:p w:rsidR="00292A9E" w:rsidRPr="00292A9E" w:rsidRDefault="00292A9E" w:rsidP="00F25B57">
      <w:pPr>
        <w:jc w:val="both"/>
        <w:rPr>
          <w:sz w:val="26"/>
          <w:szCs w:val="26"/>
        </w:rPr>
      </w:pPr>
      <w:r w:rsidRPr="00292A9E">
        <w:rPr>
          <w:sz w:val="26"/>
          <w:szCs w:val="26"/>
        </w:rPr>
        <w:t>88.91 «Денний догляд за дітьми»</w:t>
      </w:r>
    </w:p>
    <w:p w:rsidR="00292A9E" w:rsidRPr="00292A9E" w:rsidRDefault="00292A9E" w:rsidP="00F25B57">
      <w:pPr>
        <w:jc w:val="both"/>
        <w:rPr>
          <w:sz w:val="26"/>
          <w:szCs w:val="26"/>
        </w:rPr>
      </w:pPr>
      <w:r w:rsidRPr="00292A9E">
        <w:rPr>
          <w:sz w:val="26"/>
          <w:szCs w:val="26"/>
        </w:rPr>
        <w:t xml:space="preserve">88.99 «Надання іншої соціальної допомоги без забезпечення проживання, </w:t>
      </w:r>
      <w:proofErr w:type="spellStart"/>
      <w:r w:rsidRPr="00292A9E">
        <w:rPr>
          <w:sz w:val="26"/>
          <w:szCs w:val="26"/>
        </w:rPr>
        <w:t>н.в.і.у</w:t>
      </w:r>
      <w:proofErr w:type="spellEnd"/>
      <w:r w:rsidRPr="00292A9E">
        <w:rPr>
          <w:sz w:val="26"/>
          <w:szCs w:val="26"/>
        </w:rPr>
        <w:t>.»</w:t>
      </w:r>
    </w:p>
    <w:p w:rsidR="00292A9E" w:rsidRDefault="00292A9E" w:rsidP="00F25B57">
      <w:pPr>
        <w:jc w:val="both"/>
        <w:rPr>
          <w:sz w:val="26"/>
          <w:szCs w:val="26"/>
        </w:rPr>
      </w:pPr>
    </w:p>
    <w:p w:rsidR="00292A9E" w:rsidRPr="006E791D" w:rsidRDefault="00295C2C" w:rsidP="00F25B5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Надання послуг виконуються </w:t>
      </w:r>
      <w:r w:rsidR="00115312">
        <w:rPr>
          <w:sz w:val="26"/>
          <w:szCs w:val="26"/>
        </w:rPr>
        <w:t>КНП «БЦСППД</w:t>
      </w:r>
      <w:r w:rsidR="00F23BF5">
        <w:rPr>
          <w:sz w:val="26"/>
          <w:szCs w:val="26"/>
        </w:rPr>
        <w:t xml:space="preserve"> </w:t>
      </w:r>
      <w:r w:rsidR="00115312">
        <w:rPr>
          <w:sz w:val="26"/>
          <w:szCs w:val="26"/>
        </w:rPr>
        <w:t>БМР</w:t>
      </w:r>
      <w:r w:rsidR="00F23BF5">
        <w:rPr>
          <w:sz w:val="26"/>
          <w:szCs w:val="26"/>
        </w:rPr>
        <w:t>»</w:t>
      </w:r>
      <w:r>
        <w:rPr>
          <w:sz w:val="26"/>
          <w:szCs w:val="26"/>
        </w:rPr>
        <w:t xml:space="preserve"> з початку його діяльності з 2023</w:t>
      </w:r>
      <w:r w:rsidR="00F23BF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року та залишаються його основним видом діяльності. </w:t>
      </w:r>
      <w:r w:rsidR="00F23BF5">
        <w:rPr>
          <w:sz w:val="26"/>
          <w:szCs w:val="26"/>
        </w:rPr>
        <w:t>Підприємство</w:t>
      </w:r>
      <w:r>
        <w:rPr>
          <w:sz w:val="26"/>
          <w:szCs w:val="26"/>
        </w:rPr>
        <w:t xml:space="preserve"> </w:t>
      </w:r>
      <w:r w:rsidR="006E791D">
        <w:rPr>
          <w:sz w:val="26"/>
          <w:szCs w:val="26"/>
        </w:rPr>
        <w:t>керу</w:t>
      </w:r>
      <w:r w:rsidR="00F23BF5">
        <w:rPr>
          <w:sz w:val="26"/>
          <w:szCs w:val="26"/>
        </w:rPr>
        <w:t xml:space="preserve">ється </w:t>
      </w:r>
      <w:r>
        <w:rPr>
          <w:sz w:val="26"/>
          <w:szCs w:val="26"/>
        </w:rPr>
        <w:t xml:space="preserve"> у </w:t>
      </w:r>
      <w:r w:rsidR="006E791D">
        <w:rPr>
          <w:sz w:val="26"/>
          <w:szCs w:val="26"/>
        </w:rPr>
        <w:t>своїй діяльності</w:t>
      </w:r>
      <w:r w:rsidR="0016785D">
        <w:rPr>
          <w:sz w:val="26"/>
          <w:szCs w:val="26"/>
        </w:rPr>
        <w:t xml:space="preserve"> </w:t>
      </w:r>
      <w:r w:rsidR="00297DD0">
        <w:rPr>
          <w:sz w:val="26"/>
          <w:szCs w:val="26"/>
        </w:rPr>
        <w:t>Закон</w:t>
      </w:r>
      <w:r w:rsidR="006E791D">
        <w:rPr>
          <w:sz w:val="26"/>
          <w:szCs w:val="26"/>
        </w:rPr>
        <w:t>ом</w:t>
      </w:r>
      <w:r w:rsidR="00297DD0">
        <w:rPr>
          <w:sz w:val="26"/>
          <w:szCs w:val="26"/>
        </w:rPr>
        <w:t xml:space="preserve"> України «Про соціальні послуги»,</w:t>
      </w:r>
      <w:r w:rsidR="00192A41">
        <w:rPr>
          <w:sz w:val="26"/>
          <w:szCs w:val="26"/>
        </w:rPr>
        <w:t xml:space="preserve"> постанов</w:t>
      </w:r>
      <w:r w:rsidR="006E791D">
        <w:rPr>
          <w:sz w:val="26"/>
          <w:szCs w:val="26"/>
        </w:rPr>
        <w:t>ами</w:t>
      </w:r>
      <w:r w:rsidR="00192A41">
        <w:rPr>
          <w:sz w:val="26"/>
          <w:szCs w:val="26"/>
        </w:rPr>
        <w:t xml:space="preserve"> Кабінету Міністрів «Про організацію надання соціальних послуг» від 01.06.2020р.</w:t>
      </w:r>
      <w:r w:rsidR="006E791D">
        <w:rPr>
          <w:sz w:val="26"/>
          <w:szCs w:val="26"/>
        </w:rPr>
        <w:t xml:space="preserve">                   </w:t>
      </w:r>
      <w:r w:rsidR="00192A41">
        <w:rPr>
          <w:sz w:val="26"/>
          <w:szCs w:val="26"/>
        </w:rPr>
        <w:t xml:space="preserve"> № 587</w:t>
      </w:r>
      <w:r w:rsidR="006E791D">
        <w:rPr>
          <w:sz w:val="26"/>
          <w:szCs w:val="26"/>
        </w:rPr>
        <w:t>, «Деякі питання діяльності соціального обслуговування</w:t>
      </w:r>
      <w:r w:rsidR="00F23BF5">
        <w:rPr>
          <w:sz w:val="26"/>
          <w:szCs w:val="26"/>
        </w:rPr>
        <w:t xml:space="preserve"> </w:t>
      </w:r>
      <w:r w:rsidR="006E791D">
        <w:rPr>
          <w:sz w:val="26"/>
          <w:szCs w:val="26"/>
        </w:rPr>
        <w:t xml:space="preserve">(надання соціальних послуг)» від 29.12.2009р. № 1417, </w:t>
      </w:r>
      <w:r w:rsidR="006E791D" w:rsidRPr="006E791D">
        <w:rPr>
          <w:sz w:val="26"/>
          <w:szCs w:val="26"/>
        </w:rPr>
        <w:t>«Про затвердження критеріїв діяльності надавачів соціальних послуг» від 03.03.2020 року №</w:t>
      </w:r>
      <w:r w:rsidR="00F23BF5">
        <w:rPr>
          <w:sz w:val="26"/>
          <w:szCs w:val="26"/>
        </w:rPr>
        <w:t xml:space="preserve"> </w:t>
      </w:r>
      <w:r w:rsidR="006E791D" w:rsidRPr="006E791D">
        <w:rPr>
          <w:sz w:val="26"/>
          <w:szCs w:val="26"/>
        </w:rPr>
        <w:t>185, «Про затвердження Порядку надання соціальних послуг особам з інвалідністю та особам похилого віку, які страждають на психічні розлади» від 26.06.2019 року №</w:t>
      </w:r>
      <w:r w:rsidR="00F23BF5">
        <w:rPr>
          <w:sz w:val="26"/>
          <w:szCs w:val="26"/>
        </w:rPr>
        <w:t xml:space="preserve"> </w:t>
      </w:r>
      <w:r w:rsidR="006E791D" w:rsidRPr="006E791D">
        <w:rPr>
          <w:sz w:val="26"/>
          <w:szCs w:val="26"/>
        </w:rPr>
        <w:t>576, «Про затвердження Порядку регулювання тарифів на соціальні послуги» від 01.06.2020 року № 428, «Про затвердження Порядку установлення диференційованої плати за надання соціальних послуг» від 01.06.2020 року №</w:t>
      </w:r>
      <w:r w:rsidR="00F23BF5">
        <w:rPr>
          <w:sz w:val="26"/>
          <w:szCs w:val="26"/>
        </w:rPr>
        <w:t xml:space="preserve"> </w:t>
      </w:r>
      <w:r w:rsidR="006E791D" w:rsidRPr="006E791D">
        <w:rPr>
          <w:sz w:val="26"/>
          <w:szCs w:val="26"/>
        </w:rPr>
        <w:t>429</w:t>
      </w:r>
      <w:r w:rsidR="006E791D">
        <w:rPr>
          <w:sz w:val="26"/>
          <w:szCs w:val="26"/>
        </w:rPr>
        <w:t>, Наказом Міністерства соціальної політики України «Про затвердження форм обліку соціальної роботи з сім’ями/особами, які перебувають в складних життєвих обставинах» від 13.07.2018р. №</w:t>
      </w:r>
      <w:r w:rsidR="00F23BF5">
        <w:rPr>
          <w:sz w:val="26"/>
          <w:szCs w:val="26"/>
        </w:rPr>
        <w:t xml:space="preserve"> </w:t>
      </w:r>
      <w:r w:rsidR="006E791D">
        <w:rPr>
          <w:sz w:val="26"/>
          <w:szCs w:val="26"/>
        </w:rPr>
        <w:t>1005</w:t>
      </w:r>
      <w:r w:rsidR="00F23BF5">
        <w:rPr>
          <w:sz w:val="26"/>
          <w:szCs w:val="26"/>
        </w:rPr>
        <w:t xml:space="preserve">, </w:t>
      </w:r>
      <w:r w:rsidR="00555096">
        <w:rPr>
          <w:sz w:val="26"/>
          <w:szCs w:val="26"/>
        </w:rPr>
        <w:t>Постановою КМУ «</w:t>
      </w:r>
      <w:r w:rsidR="00B7033B">
        <w:rPr>
          <w:sz w:val="26"/>
          <w:szCs w:val="26"/>
        </w:rPr>
        <w:t>П</w:t>
      </w:r>
      <w:r w:rsidR="00555096">
        <w:rPr>
          <w:sz w:val="26"/>
          <w:szCs w:val="26"/>
        </w:rPr>
        <w:t>ро деякі питання оплати праці фахівців із супроводу ветеранів війни та демобілізованих осіб» від 02.08.2024 року № 868, Постановою КМУ «Про компенсацію витрат на оплату праці за працевлаштування внутрішньо-переміщених осіб» від 20.03.2022 року № 331, Постановою КМУ «Про організацію діяльності та забезпечення функціонування центрів Життєстійкості» від 23.01.2024 року №</w:t>
      </w:r>
      <w:r w:rsidR="00D5391A">
        <w:rPr>
          <w:sz w:val="26"/>
          <w:szCs w:val="26"/>
        </w:rPr>
        <w:t xml:space="preserve"> </w:t>
      </w:r>
      <w:r w:rsidR="00555096">
        <w:rPr>
          <w:sz w:val="26"/>
          <w:szCs w:val="26"/>
        </w:rPr>
        <w:t>83.</w:t>
      </w:r>
    </w:p>
    <w:p w:rsidR="006004DD" w:rsidRDefault="006004DD" w:rsidP="00F25B57">
      <w:pPr>
        <w:jc w:val="both"/>
        <w:rPr>
          <w:sz w:val="26"/>
          <w:szCs w:val="26"/>
        </w:rPr>
      </w:pPr>
    </w:p>
    <w:p w:rsidR="00612603" w:rsidRDefault="006004DD" w:rsidP="00F25B57">
      <w:pPr>
        <w:jc w:val="both"/>
        <w:rPr>
          <w:sz w:val="26"/>
          <w:szCs w:val="26"/>
        </w:rPr>
      </w:pPr>
      <w:r>
        <w:rPr>
          <w:sz w:val="26"/>
          <w:szCs w:val="26"/>
        </w:rPr>
        <w:t>Фінансовий план на 202</w:t>
      </w:r>
      <w:r w:rsidR="00F23BF5">
        <w:rPr>
          <w:sz w:val="26"/>
          <w:szCs w:val="26"/>
        </w:rPr>
        <w:t>5</w:t>
      </w:r>
      <w:r>
        <w:rPr>
          <w:sz w:val="26"/>
          <w:szCs w:val="26"/>
        </w:rPr>
        <w:t xml:space="preserve"> рік розраховано на підставі даних про доходи та витрати за </w:t>
      </w:r>
      <w:r w:rsidR="00F23BF5">
        <w:rPr>
          <w:sz w:val="26"/>
          <w:szCs w:val="26"/>
        </w:rPr>
        <w:t>2024</w:t>
      </w:r>
      <w:r>
        <w:rPr>
          <w:sz w:val="26"/>
          <w:szCs w:val="26"/>
        </w:rPr>
        <w:t xml:space="preserve"> р</w:t>
      </w:r>
      <w:r w:rsidR="00F23BF5">
        <w:rPr>
          <w:sz w:val="26"/>
          <w:szCs w:val="26"/>
        </w:rPr>
        <w:t>ік</w:t>
      </w:r>
      <w:r w:rsidR="0016785D">
        <w:rPr>
          <w:sz w:val="26"/>
          <w:szCs w:val="26"/>
        </w:rPr>
        <w:t>, оплата яких здійснюється за Єдиною тарифною сіткою (</w:t>
      </w:r>
      <w:r w:rsidR="00E8775B">
        <w:rPr>
          <w:sz w:val="26"/>
          <w:szCs w:val="26"/>
        </w:rPr>
        <w:t xml:space="preserve">з січня </w:t>
      </w:r>
      <w:r w:rsidR="0016785D">
        <w:rPr>
          <w:sz w:val="26"/>
          <w:szCs w:val="26"/>
        </w:rPr>
        <w:t xml:space="preserve">по </w:t>
      </w:r>
      <w:r w:rsidR="00612603">
        <w:rPr>
          <w:sz w:val="26"/>
          <w:szCs w:val="26"/>
        </w:rPr>
        <w:t>грудень</w:t>
      </w:r>
      <w:r w:rsidR="0016785D">
        <w:rPr>
          <w:sz w:val="26"/>
          <w:szCs w:val="26"/>
        </w:rPr>
        <w:t xml:space="preserve"> </w:t>
      </w:r>
      <w:r w:rsidR="00E8775B">
        <w:rPr>
          <w:sz w:val="26"/>
          <w:szCs w:val="26"/>
        </w:rPr>
        <w:t>202</w:t>
      </w:r>
      <w:r w:rsidR="00A61358">
        <w:rPr>
          <w:sz w:val="26"/>
          <w:szCs w:val="26"/>
        </w:rPr>
        <w:t>4</w:t>
      </w:r>
      <w:r w:rsidR="0016785D">
        <w:rPr>
          <w:sz w:val="26"/>
          <w:szCs w:val="26"/>
        </w:rPr>
        <w:t xml:space="preserve"> </w:t>
      </w:r>
      <w:r w:rsidR="00E8775B">
        <w:rPr>
          <w:sz w:val="26"/>
          <w:szCs w:val="26"/>
        </w:rPr>
        <w:t xml:space="preserve">року розміру </w:t>
      </w:r>
      <w:r w:rsidR="00612603">
        <w:rPr>
          <w:sz w:val="26"/>
          <w:szCs w:val="26"/>
        </w:rPr>
        <w:t xml:space="preserve">з </w:t>
      </w:r>
      <w:r w:rsidR="00A61358">
        <w:rPr>
          <w:sz w:val="26"/>
          <w:szCs w:val="26"/>
        </w:rPr>
        <w:t>3195</w:t>
      </w:r>
      <w:r w:rsidR="00612603">
        <w:rPr>
          <w:sz w:val="26"/>
          <w:szCs w:val="26"/>
        </w:rPr>
        <w:t>,00</w:t>
      </w:r>
      <w:r w:rsidR="00E8775B">
        <w:rPr>
          <w:sz w:val="26"/>
          <w:szCs w:val="26"/>
        </w:rPr>
        <w:t>грн на місяць</w:t>
      </w:r>
      <w:r w:rsidR="0072129D">
        <w:rPr>
          <w:sz w:val="26"/>
          <w:szCs w:val="26"/>
        </w:rPr>
        <w:t>)</w:t>
      </w:r>
      <w:r w:rsidR="00E8775B">
        <w:rPr>
          <w:sz w:val="26"/>
          <w:szCs w:val="26"/>
        </w:rPr>
        <w:t xml:space="preserve">. </w:t>
      </w:r>
      <w:r w:rsidR="006E791D">
        <w:rPr>
          <w:sz w:val="26"/>
          <w:szCs w:val="26"/>
        </w:rPr>
        <w:t>Заробітна плата пра</w:t>
      </w:r>
      <w:r w:rsidR="004A05D4">
        <w:rPr>
          <w:sz w:val="26"/>
          <w:szCs w:val="26"/>
        </w:rPr>
        <w:t>цівників</w:t>
      </w:r>
      <w:r w:rsidR="004C0223">
        <w:rPr>
          <w:sz w:val="26"/>
          <w:szCs w:val="26"/>
        </w:rPr>
        <w:t xml:space="preserve"> </w:t>
      </w:r>
      <w:r w:rsidR="004A05D4">
        <w:rPr>
          <w:sz w:val="26"/>
          <w:szCs w:val="26"/>
        </w:rPr>
        <w:t xml:space="preserve">буде </w:t>
      </w:r>
      <w:r w:rsidR="004C0223">
        <w:rPr>
          <w:sz w:val="26"/>
          <w:szCs w:val="26"/>
        </w:rPr>
        <w:lastRenderedPageBreak/>
        <w:t>здійснен</w:t>
      </w:r>
      <w:r w:rsidR="00A61358">
        <w:rPr>
          <w:sz w:val="26"/>
          <w:szCs w:val="26"/>
        </w:rPr>
        <w:t>а</w:t>
      </w:r>
      <w:r w:rsidR="004C0223">
        <w:rPr>
          <w:sz w:val="26"/>
          <w:szCs w:val="26"/>
        </w:rPr>
        <w:t xml:space="preserve"> </w:t>
      </w:r>
      <w:r w:rsidR="00A61358">
        <w:rPr>
          <w:sz w:val="26"/>
          <w:szCs w:val="26"/>
        </w:rPr>
        <w:t xml:space="preserve"> за рахунок бюджетних, державних коштів та інших джерел, незаборонених законодавством</w:t>
      </w:r>
      <w:r w:rsidR="00D5391A">
        <w:rPr>
          <w:sz w:val="26"/>
          <w:szCs w:val="26"/>
        </w:rPr>
        <w:t>.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2567"/>
        <w:gridCol w:w="567"/>
        <w:gridCol w:w="1417"/>
        <w:gridCol w:w="1560"/>
        <w:gridCol w:w="1134"/>
        <w:gridCol w:w="1275"/>
        <w:gridCol w:w="1276"/>
      </w:tblGrid>
      <w:tr w:rsidR="009E4F45" w:rsidRPr="008B2BE3" w:rsidTr="009E4F45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F45" w:rsidRPr="008B2BE3" w:rsidRDefault="009E4F45" w:rsidP="008B2BE3">
            <w:pPr>
              <w:rPr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F45" w:rsidRPr="008B2BE3" w:rsidRDefault="009E4F45" w:rsidP="008B2BE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45" w:rsidRPr="008B2BE3" w:rsidRDefault="009E4F45" w:rsidP="00A61358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uk-UA"/>
              </w:rPr>
              <w:t>План  202</w:t>
            </w:r>
            <w:r w:rsidR="00A61358">
              <w:rPr>
                <w:b/>
                <w:bCs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45" w:rsidRPr="008B2BE3" w:rsidRDefault="009E4F45" w:rsidP="008B2BE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uk-UA"/>
              </w:rPr>
              <w:t>1кв.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45" w:rsidRPr="008B2BE3" w:rsidRDefault="009E4F45" w:rsidP="008B2BE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uk-UA"/>
              </w:rPr>
              <w:t>2кв.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45" w:rsidRPr="008B2BE3" w:rsidRDefault="009E4F45" w:rsidP="008B2BE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uk-UA"/>
              </w:rPr>
              <w:t>3кв.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45" w:rsidRPr="008B2BE3" w:rsidRDefault="009E4F45" w:rsidP="008B2BE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uk-UA"/>
              </w:rPr>
              <w:t>4кв.</w:t>
            </w:r>
          </w:p>
        </w:tc>
      </w:tr>
      <w:tr w:rsidR="009E4F45" w:rsidRPr="008B2BE3" w:rsidTr="009E4F45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F45" w:rsidRPr="008B2BE3" w:rsidRDefault="009E4F45" w:rsidP="00E72F3E">
            <w:pPr>
              <w:rPr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B2BE3">
              <w:rPr>
                <w:b/>
                <w:bCs/>
                <w:color w:val="000000"/>
                <w:sz w:val="20"/>
                <w:szCs w:val="20"/>
                <w:lang w:eastAsia="uk-UA"/>
              </w:rPr>
              <w:t>Собівартість реалізованої продукції (товарів, робіт та послуг), у тому числі: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F45" w:rsidRPr="008B2BE3" w:rsidRDefault="009E4F45" w:rsidP="00E72F3E">
            <w:pPr>
              <w:jc w:val="right"/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8B2BE3">
              <w:rPr>
                <w:b/>
                <w:bCs/>
                <w:color w:val="000000"/>
                <w:sz w:val="16"/>
                <w:szCs w:val="16"/>
                <w:lang w:eastAsia="uk-UA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F45" w:rsidRPr="008B2BE3" w:rsidRDefault="008A38D6" w:rsidP="00E72F3E">
            <w:pPr>
              <w:jc w:val="right"/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uk-UA"/>
              </w:rPr>
              <w:t>14 967,8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F45" w:rsidRPr="008B2BE3" w:rsidRDefault="008A38D6" w:rsidP="00E72F3E">
            <w:pPr>
              <w:jc w:val="right"/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uk-UA"/>
              </w:rPr>
              <w:t>3 819,3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F45" w:rsidRPr="008B2BE3" w:rsidRDefault="008A38D6" w:rsidP="00E72F3E">
            <w:pPr>
              <w:jc w:val="right"/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uk-UA"/>
              </w:rPr>
              <w:t>3 735,9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F45" w:rsidRPr="008B2BE3" w:rsidRDefault="008A38D6" w:rsidP="008A38D6">
            <w:pPr>
              <w:jc w:val="right"/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uk-UA"/>
              </w:rPr>
              <w:t>3 706,2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F45" w:rsidRPr="008B2BE3" w:rsidRDefault="008A38D6" w:rsidP="008A38D6">
            <w:pPr>
              <w:jc w:val="right"/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uk-UA"/>
              </w:rPr>
              <w:t>3 706,4</w:t>
            </w:r>
          </w:p>
        </w:tc>
      </w:tr>
      <w:tr w:rsidR="009E4F45" w:rsidRPr="008B2BE3" w:rsidTr="009E4F45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45" w:rsidRPr="008B2BE3" w:rsidRDefault="00A61358" w:rsidP="00A61358">
            <w:pPr>
              <w:rPr>
                <w:color w:val="000000"/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витрати на</w:t>
            </w:r>
            <w:r w:rsidR="009E4F45" w:rsidRPr="008B2BE3">
              <w:rPr>
                <w:color w:val="000000"/>
                <w:sz w:val="20"/>
                <w:szCs w:val="20"/>
                <w:lang w:eastAsia="uk-UA"/>
              </w:rPr>
              <w:t xml:space="preserve"> основні </w:t>
            </w:r>
            <w:r>
              <w:rPr>
                <w:color w:val="000000"/>
                <w:sz w:val="20"/>
                <w:szCs w:val="20"/>
                <w:lang w:eastAsia="uk-UA"/>
              </w:rPr>
              <w:t>засоби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45" w:rsidRPr="008B2BE3" w:rsidRDefault="009E4F45" w:rsidP="008B2BE3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 w:rsidRPr="008B2BE3">
              <w:rPr>
                <w:color w:val="000000"/>
                <w:sz w:val="16"/>
                <w:szCs w:val="16"/>
                <w:lang w:eastAsia="uk-UA"/>
              </w:rPr>
              <w:t>6/1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45" w:rsidRPr="008B2BE3" w:rsidRDefault="00A61358" w:rsidP="008B2BE3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57,0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45" w:rsidRPr="008B2BE3" w:rsidRDefault="00A61358" w:rsidP="008B2BE3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28,5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45" w:rsidRPr="008B2BE3" w:rsidRDefault="00A61358" w:rsidP="00A61358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28,5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45" w:rsidRPr="008B2BE3" w:rsidRDefault="009E4F45" w:rsidP="008B2BE3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 w:rsidRPr="008B2BE3">
              <w:rPr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F45" w:rsidRPr="008B2BE3" w:rsidRDefault="009E4F45" w:rsidP="008B2BE3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 w:rsidRPr="008B2BE3">
              <w:rPr>
                <w:color w:val="000000"/>
                <w:sz w:val="16"/>
                <w:szCs w:val="16"/>
                <w:lang w:eastAsia="uk-UA"/>
              </w:rPr>
              <w:t>0</w:t>
            </w:r>
          </w:p>
        </w:tc>
      </w:tr>
      <w:tr w:rsidR="009E4F45" w:rsidRPr="008B2BE3" w:rsidTr="009E4F45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45" w:rsidRPr="008B2BE3" w:rsidRDefault="009E4F45" w:rsidP="00A61358">
            <w:pPr>
              <w:rPr>
                <w:color w:val="000000"/>
                <w:sz w:val="20"/>
                <w:szCs w:val="20"/>
                <w:lang w:eastAsia="uk-UA"/>
              </w:rPr>
            </w:pPr>
            <w:r w:rsidRPr="008B2BE3">
              <w:rPr>
                <w:color w:val="000000"/>
                <w:sz w:val="20"/>
                <w:szCs w:val="20"/>
                <w:lang w:eastAsia="uk-UA"/>
              </w:rPr>
              <w:t xml:space="preserve">витрати на </w:t>
            </w:r>
            <w:r w:rsidR="00A61358">
              <w:rPr>
                <w:color w:val="000000"/>
                <w:sz w:val="20"/>
                <w:szCs w:val="20"/>
                <w:lang w:eastAsia="uk-UA"/>
              </w:rPr>
              <w:t>проїзні квитки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45" w:rsidRPr="008B2BE3" w:rsidRDefault="009E4F45" w:rsidP="008B2BE3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 w:rsidRPr="008B2BE3">
              <w:rPr>
                <w:color w:val="000000"/>
                <w:sz w:val="16"/>
                <w:szCs w:val="16"/>
                <w:lang w:eastAsia="uk-UA"/>
              </w:rPr>
              <w:t>6/2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45" w:rsidRPr="008B2BE3" w:rsidRDefault="00A61358" w:rsidP="008B2BE3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49,9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45" w:rsidRPr="008B2BE3" w:rsidRDefault="00A61358" w:rsidP="008B2BE3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45" w:rsidRPr="008B2BE3" w:rsidRDefault="009E4F45" w:rsidP="008B2BE3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 w:rsidRPr="008B2BE3">
              <w:rPr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45" w:rsidRPr="008B2BE3" w:rsidRDefault="009E4F45" w:rsidP="008B2BE3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 w:rsidRPr="008B2BE3">
              <w:rPr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F45" w:rsidRPr="008B2BE3" w:rsidRDefault="009E4F45" w:rsidP="008B2BE3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 w:rsidRPr="008B2BE3">
              <w:rPr>
                <w:color w:val="000000"/>
                <w:sz w:val="16"/>
                <w:szCs w:val="16"/>
                <w:lang w:eastAsia="uk-UA"/>
              </w:rPr>
              <w:t>0</w:t>
            </w:r>
          </w:p>
        </w:tc>
      </w:tr>
      <w:tr w:rsidR="009E4F45" w:rsidRPr="008B2BE3" w:rsidTr="009E4F45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45" w:rsidRPr="008B2BE3" w:rsidRDefault="009E4F45" w:rsidP="008B2BE3">
            <w:pPr>
              <w:rPr>
                <w:color w:val="000000"/>
                <w:sz w:val="20"/>
                <w:szCs w:val="20"/>
                <w:lang w:eastAsia="uk-UA"/>
              </w:rPr>
            </w:pPr>
            <w:r w:rsidRPr="008B2BE3">
              <w:rPr>
                <w:color w:val="000000"/>
                <w:sz w:val="20"/>
                <w:szCs w:val="20"/>
                <w:lang w:eastAsia="uk-UA"/>
              </w:rPr>
              <w:t>витрати на електроенергію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45" w:rsidRPr="008B2BE3" w:rsidRDefault="009E4F45" w:rsidP="008B2BE3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 w:rsidRPr="008B2BE3">
              <w:rPr>
                <w:color w:val="000000"/>
                <w:sz w:val="16"/>
                <w:szCs w:val="16"/>
                <w:lang w:eastAsia="uk-UA"/>
              </w:rPr>
              <w:t>6/3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45" w:rsidRPr="008B2BE3" w:rsidRDefault="00A61358" w:rsidP="008B2BE3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32,0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45" w:rsidRPr="008B2BE3" w:rsidRDefault="00A61358" w:rsidP="008B2BE3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8,</w:t>
            </w:r>
            <w:r w:rsidR="009E4F45" w:rsidRPr="008B2BE3">
              <w:rPr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45" w:rsidRPr="008B2BE3" w:rsidRDefault="00A61358" w:rsidP="008B2BE3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8,</w:t>
            </w:r>
            <w:r w:rsidR="009E4F45" w:rsidRPr="008B2BE3">
              <w:rPr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45" w:rsidRPr="008B2BE3" w:rsidRDefault="00A61358" w:rsidP="008B2BE3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8,0</w:t>
            </w:r>
            <w:r w:rsidR="009E4F45" w:rsidRPr="008B2BE3">
              <w:rPr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F45" w:rsidRPr="008B2BE3" w:rsidRDefault="00A61358" w:rsidP="00A61358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8,0</w:t>
            </w:r>
          </w:p>
        </w:tc>
      </w:tr>
      <w:tr w:rsidR="009E4F45" w:rsidRPr="008B2BE3" w:rsidTr="009E4F45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45" w:rsidRPr="008B2BE3" w:rsidRDefault="009E4F45" w:rsidP="008B2BE3">
            <w:pPr>
              <w:rPr>
                <w:color w:val="000000"/>
                <w:sz w:val="20"/>
                <w:szCs w:val="20"/>
                <w:lang w:eastAsia="uk-UA"/>
              </w:rPr>
            </w:pPr>
            <w:r w:rsidRPr="008B2BE3">
              <w:rPr>
                <w:color w:val="000000"/>
                <w:sz w:val="20"/>
                <w:szCs w:val="20"/>
                <w:lang w:eastAsia="uk-UA"/>
              </w:rPr>
              <w:t>комунальні витрати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45" w:rsidRPr="008B2BE3" w:rsidRDefault="009E4F45" w:rsidP="008B2BE3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 w:rsidRPr="008B2BE3">
              <w:rPr>
                <w:color w:val="000000"/>
                <w:sz w:val="16"/>
                <w:szCs w:val="16"/>
                <w:lang w:eastAsia="uk-UA"/>
              </w:rPr>
              <w:t>6/4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45" w:rsidRPr="008B2BE3" w:rsidRDefault="00A61358" w:rsidP="008B2BE3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88,0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45" w:rsidRPr="008B2BE3" w:rsidRDefault="00A61358" w:rsidP="008B2BE3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22,</w:t>
            </w:r>
            <w:r w:rsidR="009E4F45">
              <w:rPr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45" w:rsidRPr="008B2BE3" w:rsidRDefault="00A61358" w:rsidP="008B2BE3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22,</w:t>
            </w:r>
            <w:r w:rsidR="009E4F45">
              <w:rPr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45" w:rsidRPr="008B2BE3" w:rsidRDefault="00A61358" w:rsidP="008B2BE3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22,</w:t>
            </w:r>
            <w:r w:rsidR="009E4F45">
              <w:rPr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F45" w:rsidRPr="008B2BE3" w:rsidRDefault="00A61358" w:rsidP="008B2BE3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22,</w:t>
            </w:r>
            <w:r w:rsidR="009E4F45">
              <w:rPr>
                <w:color w:val="000000"/>
                <w:sz w:val="16"/>
                <w:szCs w:val="16"/>
                <w:lang w:eastAsia="uk-UA"/>
              </w:rPr>
              <w:t>0</w:t>
            </w:r>
          </w:p>
        </w:tc>
      </w:tr>
      <w:tr w:rsidR="00A61358" w:rsidRPr="008B2BE3" w:rsidTr="009E4F45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358" w:rsidRPr="008B2BE3" w:rsidRDefault="00A61358" w:rsidP="00A61358">
            <w:pPr>
              <w:rPr>
                <w:color w:val="000000"/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Витрати на висвітлення інформації у інформаційному просторі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358" w:rsidRPr="008B2BE3" w:rsidRDefault="00A61358" w:rsidP="008B2BE3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6/5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358" w:rsidRDefault="00A61358" w:rsidP="008B2BE3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49,9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358" w:rsidRDefault="00A61358" w:rsidP="008B2BE3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358" w:rsidRDefault="00A61358" w:rsidP="008B2BE3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12,9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358" w:rsidRDefault="00A61358" w:rsidP="008B2BE3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358" w:rsidRDefault="00A61358" w:rsidP="008B2BE3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12,0</w:t>
            </w:r>
          </w:p>
        </w:tc>
      </w:tr>
      <w:tr w:rsidR="009E4F45" w:rsidRPr="008B2BE3" w:rsidTr="009E4F45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45" w:rsidRPr="008B2BE3" w:rsidRDefault="009E4F45" w:rsidP="008B2BE3">
            <w:pPr>
              <w:rPr>
                <w:color w:val="000000"/>
                <w:sz w:val="20"/>
                <w:szCs w:val="20"/>
                <w:lang w:eastAsia="uk-UA"/>
              </w:rPr>
            </w:pPr>
            <w:r w:rsidRPr="008B2BE3">
              <w:rPr>
                <w:color w:val="000000"/>
                <w:sz w:val="20"/>
                <w:szCs w:val="20"/>
                <w:lang w:eastAsia="uk-UA"/>
              </w:rPr>
              <w:t>витрати на оплату праці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45" w:rsidRPr="008B2BE3" w:rsidRDefault="009E4F45" w:rsidP="00A61358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 w:rsidRPr="008B2BE3">
              <w:rPr>
                <w:color w:val="000000"/>
                <w:sz w:val="16"/>
                <w:szCs w:val="16"/>
                <w:lang w:eastAsia="uk-UA"/>
              </w:rPr>
              <w:t>6/</w:t>
            </w:r>
            <w:r w:rsidR="00A61358">
              <w:rPr>
                <w:color w:val="000000"/>
                <w:sz w:val="16"/>
                <w:szCs w:val="16"/>
                <w:lang w:eastAsia="uk-UA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45" w:rsidRPr="008B2BE3" w:rsidRDefault="00A61358" w:rsidP="00A65329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8 212,7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45" w:rsidRPr="008B2BE3" w:rsidRDefault="00A61358" w:rsidP="008B2BE3">
            <w:pPr>
              <w:jc w:val="right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2 053,2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45" w:rsidRPr="008B2BE3" w:rsidRDefault="00A61358" w:rsidP="008B2BE3">
            <w:pPr>
              <w:jc w:val="right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2 053,2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45" w:rsidRPr="008B2BE3" w:rsidRDefault="00A61358" w:rsidP="008B2BE3">
            <w:pPr>
              <w:jc w:val="right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2 053,2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F45" w:rsidRPr="008B2BE3" w:rsidRDefault="00A61358" w:rsidP="008B2BE3">
            <w:pPr>
              <w:jc w:val="right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2 053,1</w:t>
            </w:r>
          </w:p>
        </w:tc>
      </w:tr>
      <w:tr w:rsidR="009E4F45" w:rsidRPr="008B2BE3" w:rsidTr="009E4F45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45" w:rsidRPr="008B2BE3" w:rsidRDefault="009E4F45" w:rsidP="008B2BE3">
            <w:pPr>
              <w:rPr>
                <w:color w:val="000000"/>
                <w:sz w:val="20"/>
                <w:szCs w:val="20"/>
                <w:lang w:eastAsia="uk-UA"/>
              </w:rPr>
            </w:pPr>
            <w:r w:rsidRPr="008B2BE3">
              <w:rPr>
                <w:color w:val="000000"/>
                <w:sz w:val="20"/>
                <w:szCs w:val="20"/>
                <w:lang w:eastAsia="uk-UA"/>
              </w:rPr>
              <w:t>відрахування на соціальні заходи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45" w:rsidRPr="008B2BE3" w:rsidRDefault="009E4F45" w:rsidP="00A61358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 w:rsidRPr="008B2BE3">
              <w:rPr>
                <w:color w:val="000000"/>
                <w:sz w:val="16"/>
                <w:szCs w:val="16"/>
                <w:lang w:eastAsia="uk-UA"/>
              </w:rPr>
              <w:t>6/</w:t>
            </w:r>
            <w:r w:rsidR="00A61358">
              <w:rPr>
                <w:color w:val="000000"/>
                <w:sz w:val="16"/>
                <w:szCs w:val="16"/>
                <w:lang w:eastAsia="uk-UA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45" w:rsidRPr="008B2BE3" w:rsidRDefault="00A61358" w:rsidP="008B2BE3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1 806,8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45" w:rsidRPr="008B2BE3" w:rsidRDefault="00A61358" w:rsidP="008B2BE3">
            <w:pPr>
              <w:jc w:val="right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451,7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45" w:rsidRPr="008B2BE3" w:rsidRDefault="00A61358" w:rsidP="00A61358">
            <w:pPr>
              <w:jc w:val="right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451,7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45" w:rsidRPr="008B2BE3" w:rsidRDefault="00A61358" w:rsidP="008B2BE3">
            <w:pPr>
              <w:jc w:val="right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451,7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45" w:rsidRPr="008B2BE3" w:rsidRDefault="00A61358" w:rsidP="008B2BE3">
            <w:pPr>
              <w:jc w:val="right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451,7</w:t>
            </w:r>
          </w:p>
        </w:tc>
      </w:tr>
      <w:tr w:rsidR="00A61358" w:rsidRPr="008B2BE3" w:rsidTr="009E4F45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358" w:rsidRPr="008B2BE3" w:rsidRDefault="00A61358" w:rsidP="003A26C4">
            <w:pPr>
              <w:rPr>
                <w:color w:val="000000"/>
                <w:sz w:val="20"/>
                <w:szCs w:val="20"/>
                <w:lang w:eastAsia="uk-UA"/>
              </w:rPr>
            </w:pPr>
            <w:r w:rsidRPr="008B2BE3">
              <w:rPr>
                <w:color w:val="000000"/>
                <w:sz w:val="20"/>
                <w:szCs w:val="20"/>
                <w:lang w:eastAsia="uk-UA"/>
              </w:rPr>
              <w:t>витрати на оплату праці</w:t>
            </w:r>
            <w:r>
              <w:rPr>
                <w:color w:val="000000"/>
                <w:sz w:val="20"/>
                <w:szCs w:val="20"/>
                <w:lang w:eastAsia="uk-UA"/>
              </w:rPr>
              <w:t xml:space="preserve"> Життєстійкість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358" w:rsidRPr="008B2BE3" w:rsidRDefault="00A61358" w:rsidP="00A61358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6/8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358" w:rsidRDefault="00A61358" w:rsidP="008B2BE3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1 910,8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358" w:rsidRDefault="00A61358" w:rsidP="008B2BE3">
            <w:pPr>
              <w:jc w:val="right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477,7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358" w:rsidRDefault="00A61358" w:rsidP="00A61358">
            <w:pPr>
              <w:jc w:val="right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477,7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358" w:rsidRDefault="00A61358" w:rsidP="008B2BE3">
            <w:pPr>
              <w:jc w:val="right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477,7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358" w:rsidRDefault="00A61358" w:rsidP="008B2BE3">
            <w:pPr>
              <w:jc w:val="right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477,7</w:t>
            </w:r>
          </w:p>
        </w:tc>
      </w:tr>
      <w:tr w:rsidR="00A61358" w:rsidRPr="008B2BE3" w:rsidTr="009E4F45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358" w:rsidRPr="008B2BE3" w:rsidRDefault="00A61358" w:rsidP="003A26C4">
            <w:pPr>
              <w:rPr>
                <w:color w:val="000000"/>
                <w:sz w:val="20"/>
                <w:szCs w:val="20"/>
                <w:lang w:eastAsia="uk-UA"/>
              </w:rPr>
            </w:pPr>
            <w:r w:rsidRPr="008B2BE3">
              <w:rPr>
                <w:color w:val="000000"/>
                <w:sz w:val="20"/>
                <w:szCs w:val="20"/>
                <w:lang w:eastAsia="uk-UA"/>
              </w:rPr>
              <w:t>відрахування на соціальні заходи</w:t>
            </w:r>
            <w:r>
              <w:rPr>
                <w:color w:val="000000"/>
                <w:sz w:val="20"/>
                <w:szCs w:val="20"/>
                <w:lang w:eastAsia="uk-UA"/>
              </w:rPr>
              <w:t xml:space="preserve">  Життєстійкість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358" w:rsidRDefault="00A61358" w:rsidP="00A61358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6/9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358" w:rsidRDefault="00A61358" w:rsidP="008B2BE3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420,4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358" w:rsidRDefault="00A61358" w:rsidP="008B2BE3">
            <w:pPr>
              <w:jc w:val="right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105,1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358" w:rsidRDefault="00A61358" w:rsidP="00A61358">
            <w:pPr>
              <w:jc w:val="right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105,1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358" w:rsidRDefault="00A61358" w:rsidP="008B2BE3">
            <w:pPr>
              <w:jc w:val="right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105,1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358" w:rsidRDefault="00A61358" w:rsidP="008B2BE3">
            <w:pPr>
              <w:jc w:val="right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105,1</w:t>
            </w:r>
          </w:p>
        </w:tc>
      </w:tr>
      <w:tr w:rsidR="00A61358" w:rsidRPr="008B2BE3" w:rsidTr="009E4F45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358" w:rsidRPr="008B2BE3" w:rsidRDefault="00A61358" w:rsidP="00F61E4C">
            <w:pPr>
              <w:rPr>
                <w:color w:val="000000"/>
                <w:sz w:val="20"/>
                <w:szCs w:val="20"/>
                <w:lang w:eastAsia="uk-UA"/>
              </w:rPr>
            </w:pPr>
            <w:r w:rsidRPr="008B2BE3">
              <w:rPr>
                <w:color w:val="000000"/>
                <w:sz w:val="20"/>
                <w:szCs w:val="20"/>
                <w:lang w:eastAsia="uk-UA"/>
              </w:rPr>
              <w:t>витрати на оплату праці</w:t>
            </w:r>
            <w:r>
              <w:rPr>
                <w:color w:val="000000"/>
                <w:sz w:val="20"/>
                <w:szCs w:val="20"/>
                <w:lang w:eastAsia="uk-UA"/>
              </w:rPr>
              <w:t xml:space="preserve"> </w:t>
            </w:r>
            <w:r w:rsidR="00F61E4C">
              <w:rPr>
                <w:color w:val="000000"/>
                <w:sz w:val="20"/>
                <w:szCs w:val="20"/>
                <w:lang w:eastAsia="uk-UA"/>
              </w:rPr>
              <w:t>Помічник ветерана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358" w:rsidRDefault="00F61E4C" w:rsidP="00A61358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6/10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358" w:rsidRDefault="00F61E4C" w:rsidP="008B2BE3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1 463,1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358" w:rsidRDefault="00F61E4C" w:rsidP="008B2BE3">
            <w:pPr>
              <w:jc w:val="right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365,8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358" w:rsidRDefault="00F61E4C" w:rsidP="00A61358">
            <w:pPr>
              <w:jc w:val="right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365,8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358" w:rsidRDefault="00F61E4C" w:rsidP="008B2BE3">
            <w:pPr>
              <w:jc w:val="right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365,8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358" w:rsidRDefault="00F61E4C" w:rsidP="008B2BE3">
            <w:pPr>
              <w:jc w:val="right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365,7</w:t>
            </w:r>
          </w:p>
        </w:tc>
      </w:tr>
      <w:tr w:rsidR="00A61358" w:rsidRPr="008B2BE3" w:rsidTr="009E4F45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358" w:rsidRPr="008B2BE3" w:rsidRDefault="00A61358" w:rsidP="003A26C4">
            <w:pPr>
              <w:rPr>
                <w:color w:val="000000"/>
                <w:sz w:val="20"/>
                <w:szCs w:val="20"/>
                <w:lang w:eastAsia="uk-UA"/>
              </w:rPr>
            </w:pPr>
            <w:r w:rsidRPr="008B2BE3">
              <w:rPr>
                <w:color w:val="000000"/>
                <w:sz w:val="20"/>
                <w:szCs w:val="20"/>
                <w:lang w:eastAsia="uk-UA"/>
              </w:rPr>
              <w:t>відрахування на соціальні заходи</w:t>
            </w:r>
            <w:r>
              <w:rPr>
                <w:color w:val="000000"/>
                <w:sz w:val="20"/>
                <w:szCs w:val="20"/>
                <w:lang w:eastAsia="uk-UA"/>
              </w:rPr>
              <w:t xml:space="preserve">  </w:t>
            </w:r>
            <w:r w:rsidR="00F61E4C">
              <w:rPr>
                <w:color w:val="000000"/>
                <w:sz w:val="20"/>
                <w:szCs w:val="20"/>
                <w:lang w:eastAsia="uk-UA"/>
              </w:rPr>
              <w:t>Помічник ветерана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358" w:rsidRDefault="00F61E4C" w:rsidP="00A61358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6/11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358" w:rsidRDefault="00F61E4C" w:rsidP="008B2BE3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321,9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358" w:rsidRDefault="00F61E4C" w:rsidP="008B2BE3">
            <w:pPr>
              <w:jc w:val="right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358" w:rsidRDefault="00F61E4C" w:rsidP="00F61E4C">
            <w:pPr>
              <w:jc w:val="right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80,5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358" w:rsidRDefault="00F61E4C" w:rsidP="008B2BE3">
            <w:pPr>
              <w:jc w:val="right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358" w:rsidRDefault="00F61E4C" w:rsidP="008B2BE3">
            <w:pPr>
              <w:jc w:val="right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80,5</w:t>
            </w:r>
          </w:p>
        </w:tc>
      </w:tr>
      <w:tr w:rsidR="008A38D6" w:rsidRPr="008B2BE3" w:rsidTr="009E4F45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8D6" w:rsidRPr="008B2BE3" w:rsidRDefault="008A38D6" w:rsidP="003A26C4">
            <w:pPr>
              <w:rPr>
                <w:color w:val="000000"/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 xml:space="preserve">Витрати для підтримання </w:t>
            </w:r>
            <w:proofErr w:type="spellStart"/>
            <w:r>
              <w:rPr>
                <w:color w:val="000000"/>
                <w:sz w:val="20"/>
                <w:szCs w:val="20"/>
                <w:lang w:eastAsia="uk-UA"/>
              </w:rPr>
              <w:t>комп</w:t>
            </w:r>
            <w:proofErr w:type="spellEnd"/>
            <w:r>
              <w:rPr>
                <w:color w:val="000000"/>
                <w:sz w:val="20"/>
                <w:szCs w:val="20"/>
                <w:lang w:eastAsia="uk-UA"/>
              </w:rPr>
              <w:t>. техніки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8D6" w:rsidRDefault="008A38D6" w:rsidP="00A61358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6/12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8D6" w:rsidRDefault="008A38D6" w:rsidP="008B2BE3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49,9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8D6" w:rsidRDefault="008A38D6" w:rsidP="008B2BE3">
            <w:pPr>
              <w:jc w:val="right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8D6" w:rsidRDefault="008A38D6" w:rsidP="00F61E4C">
            <w:pPr>
              <w:jc w:val="right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12,5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8D6" w:rsidRDefault="008A38D6" w:rsidP="008B2BE3">
            <w:pPr>
              <w:jc w:val="right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8D6" w:rsidRDefault="008A38D6" w:rsidP="008B2BE3">
            <w:pPr>
              <w:jc w:val="right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12,4</w:t>
            </w:r>
          </w:p>
        </w:tc>
      </w:tr>
      <w:tr w:rsidR="008A38D6" w:rsidRPr="008B2BE3" w:rsidTr="009E4F45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8D6" w:rsidRDefault="008A38D6" w:rsidP="008A38D6">
            <w:pPr>
              <w:rPr>
                <w:color w:val="000000"/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Витрати на програмне забезпечення та банківські послуги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8D6" w:rsidRDefault="008A38D6" w:rsidP="00A61358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6/13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8D6" w:rsidRDefault="008A38D6" w:rsidP="008B2BE3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44,0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8D6" w:rsidRDefault="008A38D6" w:rsidP="008B2BE3">
            <w:pPr>
              <w:jc w:val="right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8D6" w:rsidRDefault="008A38D6" w:rsidP="00F61E4C">
            <w:pPr>
              <w:jc w:val="right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8D6" w:rsidRDefault="008A38D6" w:rsidP="008B2BE3">
            <w:pPr>
              <w:jc w:val="right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8D6" w:rsidRDefault="008A38D6" w:rsidP="008B2BE3">
            <w:pPr>
              <w:jc w:val="right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1,5</w:t>
            </w:r>
          </w:p>
        </w:tc>
      </w:tr>
      <w:tr w:rsidR="008A38D6" w:rsidRPr="008B2BE3" w:rsidTr="009E4F45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8D6" w:rsidRDefault="008A38D6" w:rsidP="008A38D6">
            <w:pPr>
              <w:rPr>
                <w:color w:val="000000"/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Витрати на матеріали та товари за надання послуги Життєстійкість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8D6" w:rsidRDefault="008A38D6" w:rsidP="00A61358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6/14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8D6" w:rsidRDefault="008A38D6" w:rsidP="008B2BE3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461,4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8D6" w:rsidRDefault="008A38D6" w:rsidP="008B2BE3">
            <w:pPr>
              <w:jc w:val="right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114,9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8D6" w:rsidRDefault="008A38D6" w:rsidP="00F61E4C">
            <w:pPr>
              <w:jc w:val="right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114,9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8D6" w:rsidRDefault="008A38D6" w:rsidP="008B2BE3">
            <w:pPr>
              <w:jc w:val="right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114,8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8D6" w:rsidRDefault="008A38D6" w:rsidP="008B2BE3">
            <w:pPr>
              <w:jc w:val="right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116,8</w:t>
            </w:r>
          </w:p>
          <w:p w:rsidR="008A38D6" w:rsidRDefault="008A38D6" w:rsidP="008B2BE3">
            <w:pPr>
              <w:jc w:val="right"/>
              <w:rPr>
                <w:sz w:val="16"/>
                <w:szCs w:val="16"/>
                <w:lang w:eastAsia="uk-UA"/>
              </w:rPr>
            </w:pPr>
          </w:p>
        </w:tc>
      </w:tr>
      <w:tr w:rsidR="00A61358" w:rsidRPr="008B2BE3" w:rsidTr="009E4F45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358" w:rsidRPr="008B2BE3" w:rsidRDefault="00A61358" w:rsidP="008B2BE3">
            <w:pPr>
              <w:rPr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B2BE3">
              <w:rPr>
                <w:b/>
                <w:bCs/>
                <w:color w:val="000000"/>
                <w:sz w:val="20"/>
                <w:szCs w:val="20"/>
                <w:lang w:eastAsia="uk-UA"/>
              </w:rPr>
              <w:t>Адміністративні витрати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358" w:rsidRPr="008B2BE3" w:rsidRDefault="00A61358" w:rsidP="008B2BE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8B2BE3">
              <w:rPr>
                <w:b/>
                <w:bCs/>
                <w:color w:val="000000"/>
                <w:sz w:val="16"/>
                <w:szCs w:val="16"/>
                <w:lang w:eastAsia="uk-UA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2C3" w:rsidRPr="008B2BE3" w:rsidRDefault="00EF0CEA" w:rsidP="002A32C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uk-UA"/>
              </w:rPr>
              <w:t>2 </w:t>
            </w:r>
            <w:r w:rsidR="002A32C3">
              <w:rPr>
                <w:b/>
                <w:bCs/>
                <w:color w:val="000000"/>
                <w:sz w:val="16"/>
                <w:szCs w:val="16"/>
                <w:lang w:eastAsia="uk-UA"/>
              </w:rPr>
              <w:t>298</w:t>
            </w:r>
            <w:r>
              <w:rPr>
                <w:b/>
                <w:bCs/>
                <w:color w:val="000000"/>
                <w:sz w:val="16"/>
                <w:szCs w:val="16"/>
                <w:lang w:eastAsia="uk-UA"/>
              </w:rPr>
              <w:t>,</w:t>
            </w:r>
            <w:r w:rsidR="002A32C3">
              <w:rPr>
                <w:b/>
                <w:bCs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358" w:rsidRPr="008B2BE3" w:rsidRDefault="00EF0CEA" w:rsidP="002A32C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uk-UA"/>
              </w:rPr>
              <w:t>6</w:t>
            </w:r>
            <w:r w:rsidR="002A32C3">
              <w:rPr>
                <w:b/>
                <w:bCs/>
                <w:color w:val="000000"/>
                <w:sz w:val="16"/>
                <w:szCs w:val="16"/>
                <w:lang w:eastAsia="uk-UA"/>
              </w:rPr>
              <w:t>55</w:t>
            </w:r>
            <w:r>
              <w:rPr>
                <w:b/>
                <w:bCs/>
                <w:color w:val="000000"/>
                <w:sz w:val="16"/>
                <w:szCs w:val="16"/>
                <w:lang w:eastAsia="uk-UA"/>
              </w:rPr>
              <w:t>,</w:t>
            </w:r>
            <w:r w:rsidR="002A32C3">
              <w:rPr>
                <w:b/>
                <w:bCs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358" w:rsidRPr="008B2BE3" w:rsidRDefault="002A32C3" w:rsidP="002A32C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uk-UA"/>
              </w:rPr>
              <w:t>56</w:t>
            </w:r>
            <w:r w:rsidR="00EF0CEA">
              <w:rPr>
                <w:b/>
                <w:bCs/>
                <w:color w:val="000000"/>
                <w:sz w:val="16"/>
                <w:szCs w:val="16"/>
                <w:lang w:eastAsia="uk-UA"/>
              </w:rPr>
              <w:t>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358" w:rsidRPr="008B2BE3" w:rsidRDefault="00EF0CEA" w:rsidP="002A32C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uk-UA"/>
              </w:rPr>
              <w:t>5</w:t>
            </w:r>
            <w:r w:rsidR="002A32C3">
              <w:rPr>
                <w:b/>
                <w:bCs/>
                <w:color w:val="000000"/>
                <w:sz w:val="16"/>
                <w:szCs w:val="16"/>
                <w:lang w:eastAsia="uk-UA"/>
              </w:rPr>
              <w:t>38</w:t>
            </w:r>
            <w:r>
              <w:rPr>
                <w:b/>
                <w:bCs/>
                <w:color w:val="000000"/>
                <w:sz w:val="16"/>
                <w:szCs w:val="16"/>
                <w:lang w:eastAsia="uk-UA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CEA" w:rsidRPr="008B2BE3" w:rsidRDefault="00EF0CEA" w:rsidP="002A32C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uk-UA"/>
              </w:rPr>
              <w:t>5</w:t>
            </w:r>
            <w:r w:rsidR="002A32C3">
              <w:rPr>
                <w:b/>
                <w:bCs/>
                <w:color w:val="000000"/>
                <w:sz w:val="16"/>
                <w:szCs w:val="16"/>
                <w:lang w:eastAsia="uk-UA"/>
              </w:rPr>
              <w:t>38</w:t>
            </w:r>
            <w:r>
              <w:rPr>
                <w:b/>
                <w:bCs/>
                <w:color w:val="000000"/>
                <w:sz w:val="16"/>
                <w:szCs w:val="16"/>
                <w:lang w:eastAsia="uk-UA"/>
              </w:rPr>
              <w:t>,5</w:t>
            </w:r>
          </w:p>
        </w:tc>
      </w:tr>
      <w:tr w:rsidR="00A61358" w:rsidRPr="008B2BE3" w:rsidTr="009E4F45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358" w:rsidRPr="008B2BE3" w:rsidRDefault="00A61358" w:rsidP="008B2BE3">
            <w:pPr>
              <w:rPr>
                <w:color w:val="000000"/>
                <w:sz w:val="20"/>
                <w:szCs w:val="20"/>
                <w:lang w:eastAsia="uk-UA"/>
              </w:rPr>
            </w:pPr>
            <w:r w:rsidRPr="008B2BE3">
              <w:rPr>
                <w:color w:val="000000"/>
                <w:sz w:val="20"/>
                <w:szCs w:val="20"/>
                <w:lang w:eastAsia="uk-UA"/>
              </w:rPr>
              <w:t>у тому числі: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358" w:rsidRPr="008B2BE3" w:rsidRDefault="00A61358" w:rsidP="008B2BE3">
            <w:pPr>
              <w:rPr>
                <w:color w:val="000000"/>
                <w:sz w:val="16"/>
                <w:szCs w:val="16"/>
                <w:lang w:eastAsia="uk-UA"/>
              </w:rPr>
            </w:pPr>
            <w:r w:rsidRPr="008B2BE3">
              <w:rPr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358" w:rsidRPr="008B2BE3" w:rsidRDefault="00A61358" w:rsidP="008B2BE3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 w:rsidRPr="008B2BE3">
              <w:rPr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358" w:rsidRPr="008B2BE3" w:rsidRDefault="00A61358" w:rsidP="008B2BE3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 w:rsidRPr="008B2BE3">
              <w:rPr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358" w:rsidRPr="008B2BE3" w:rsidRDefault="00A61358" w:rsidP="008B2BE3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 w:rsidRPr="008B2BE3">
              <w:rPr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358" w:rsidRPr="008B2BE3" w:rsidRDefault="00A61358" w:rsidP="008B2BE3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 w:rsidRPr="008B2BE3">
              <w:rPr>
                <w:color w:val="000000"/>
                <w:sz w:val="16"/>
                <w:szCs w:val="16"/>
                <w:lang w:eastAsia="uk-UA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358" w:rsidRPr="008B2BE3" w:rsidRDefault="00A61358" w:rsidP="008B2BE3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 w:rsidRPr="008B2BE3">
              <w:rPr>
                <w:color w:val="000000"/>
                <w:sz w:val="16"/>
                <w:szCs w:val="16"/>
                <w:lang w:eastAsia="uk-UA"/>
              </w:rPr>
              <w:t>0</w:t>
            </w:r>
          </w:p>
        </w:tc>
      </w:tr>
      <w:tr w:rsidR="00A61358" w:rsidRPr="008B2BE3" w:rsidTr="009E4F45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358" w:rsidRPr="008B2BE3" w:rsidRDefault="00A61358" w:rsidP="008B2BE3">
            <w:pPr>
              <w:rPr>
                <w:color w:val="000000"/>
                <w:sz w:val="20"/>
                <w:szCs w:val="20"/>
                <w:lang w:eastAsia="uk-UA"/>
              </w:rPr>
            </w:pPr>
            <w:r w:rsidRPr="008B2BE3">
              <w:rPr>
                <w:color w:val="000000"/>
                <w:sz w:val="20"/>
                <w:szCs w:val="20"/>
                <w:lang w:eastAsia="uk-UA"/>
              </w:rPr>
              <w:t>витрати на оплату праці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358" w:rsidRPr="008B2BE3" w:rsidRDefault="00A61358" w:rsidP="008B2BE3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 w:rsidRPr="008B2BE3">
              <w:rPr>
                <w:color w:val="000000"/>
                <w:sz w:val="16"/>
                <w:szCs w:val="16"/>
                <w:lang w:eastAsia="uk-UA"/>
              </w:rPr>
              <w:t>8/8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358" w:rsidRPr="008B2BE3" w:rsidRDefault="008A38D6" w:rsidP="008B2BE3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1 518,6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358" w:rsidRPr="008B2BE3" w:rsidRDefault="008A38D6" w:rsidP="008B2BE3">
            <w:pPr>
              <w:jc w:val="right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379,7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358" w:rsidRPr="008B2BE3" w:rsidRDefault="008A38D6" w:rsidP="008B2BE3">
            <w:pPr>
              <w:jc w:val="right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379,7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358" w:rsidRPr="008B2BE3" w:rsidRDefault="008A38D6" w:rsidP="008B2BE3">
            <w:pPr>
              <w:jc w:val="right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379,6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358" w:rsidRPr="008B2BE3" w:rsidRDefault="008A38D6" w:rsidP="008B2BE3">
            <w:pPr>
              <w:jc w:val="right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379,6</w:t>
            </w:r>
          </w:p>
        </w:tc>
      </w:tr>
      <w:tr w:rsidR="00A61358" w:rsidRPr="008B2BE3" w:rsidTr="009E4F45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358" w:rsidRPr="008B2BE3" w:rsidRDefault="00A61358" w:rsidP="008B2BE3">
            <w:pPr>
              <w:rPr>
                <w:color w:val="000000"/>
                <w:sz w:val="20"/>
                <w:szCs w:val="20"/>
                <w:lang w:eastAsia="uk-UA"/>
              </w:rPr>
            </w:pPr>
            <w:r w:rsidRPr="008B2BE3">
              <w:rPr>
                <w:color w:val="000000"/>
                <w:sz w:val="20"/>
                <w:szCs w:val="20"/>
                <w:lang w:eastAsia="uk-UA"/>
              </w:rPr>
              <w:t>відрахування на соціальні заходи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358" w:rsidRPr="008B2BE3" w:rsidRDefault="00A61358" w:rsidP="008B2BE3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 w:rsidRPr="008B2BE3">
              <w:rPr>
                <w:color w:val="000000"/>
                <w:sz w:val="16"/>
                <w:szCs w:val="16"/>
                <w:lang w:eastAsia="uk-UA"/>
              </w:rPr>
              <w:t>8/9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358" w:rsidRPr="008B2BE3" w:rsidRDefault="0039726C" w:rsidP="008B2BE3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334,1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358" w:rsidRPr="008B2BE3" w:rsidRDefault="0039726C" w:rsidP="008B2BE3">
            <w:pPr>
              <w:jc w:val="right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358" w:rsidRPr="008B2BE3" w:rsidRDefault="0039726C" w:rsidP="008B2BE3">
            <w:pPr>
              <w:jc w:val="right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83,5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358" w:rsidRPr="008B2BE3" w:rsidRDefault="0039726C" w:rsidP="008B2BE3">
            <w:pPr>
              <w:jc w:val="right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358" w:rsidRPr="008B2BE3" w:rsidRDefault="0039726C" w:rsidP="008B2BE3">
            <w:pPr>
              <w:jc w:val="right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83,5</w:t>
            </w:r>
          </w:p>
        </w:tc>
      </w:tr>
      <w:tr w:rsidR="00EF0CEA" w:rsidRPr="008B2BE3" w:rsidTr="00DF6BA0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CEA" w:rsidRPr="008B2BE3" w:rsidRDefault="00EF0CEA" w:rsidP="00EF0CEA">
            <w:pPr>
              <w:rPr>
                <w:color w:val="000000"/>
                <w:sz w:val="20"/>
                <w:szCs w:val="20"/>
                <w:lang w:eastAsia="uk-UA"/>
              </w:rPr>
            </w:pPr>
            <w:r w:rsidRPr="008B2BE3">
              <w:rPr>
                <w:color w:val="000000"/>
                <w:sz w:val="20"/>
                <w:szCs w:val="20"/>
                <w:lang w:eastAsia="uk-UA"/>
              </w:rPr>
              <w:t xml:space="preserve">відрахування на </w:t>
            </w:r>
            <w:r>
              <w:rPr>
                <w:color w:val="000000"/>
                <w:sz w:val="20"/>
                <w:szCs w:val="20"/>
                <w:lang w:eastAsia="uk-UA"/>
              </w:rPr>
              <w:t>електроенергію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CEA" w:rsidRPr="008B2BE3" w:rsidRDefault="00EF0CEA" w:rsidP="00EF0CEA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 w:rsidRPr="008B2BE3">
              <w:rPr>
                <w:color w:val="000000"/>
                <w:sz w:val="16"/>
                <w:szCs w:val="16"/>
                <w:lang w:eastAsia="uk-UA"/>
              </w:rPr>
              <w:t>8/</w:t>
            </w:r>
            <w:r>
              <w:rPr>
                <w:color w:val="000000"/>
                <w:sz w:val="16"/>
                <w:szCs w:val="16"/>
                <w:lang w:eastAsia="uk-UA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CEA" w:rsidRPr="008B2BE3" w:rsidRDefault="00EF0CEA" w:rsidP="00DF6BA0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32,0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CEA" w:rsidRPr="008B2BE3" w:rsidRDefault="00EF0CEA" w:rsidP="00EF0CEA">
            <w:pPr>
              <w:jc w:val="right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CEA" w:rsidRPr="008B2BE3" w:rsidRDefault="00EF0CEA" w:rsidP="00EF0CEA">
            <w:pPr>
              <w:jc w:val="right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CEA" w:rsidRPr="008B2BE3" w:rsidRDefault="00EF0CEA" w:rsidP="00EF0CEA">
            <w:pPr>
              <w:jc w:val="right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CEA" w:rsidRPr="008B2BE3" w:rsidRDefault="00EF0CEA" w:rsidP="00EF0CEA">
            <w:pPr>
              <w:jc w:val="right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8,0</w:t>
            </w:r>
          </w:p>
        </w:tc>
      </w:tr>
      <w:tr w:rsidR="00EF0CEA" w:rsidRPr="008B2BE3" w:rsidTr="00DF6BA0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CEA" w:rsidRPr="008B2BE3" w:rsidRDefault="00EF0CEA" w:rsidP="00EF0CEA">
            <w:pPr>
              <w:rPr>
                <w:color w:val="000000"/>
                <w:sz w:val="20"/>
                <w:szCs w:val="20"/>
                <w:lang w:eastAsia="uk-UA"/>
              </w:rPr>
            </w:pPr>
            <w:r w:rsidRPr="008B2BE3">
              <w:rPr>
                <w:color w:val="000000"/>
                <w:sz w:val="20"/>
                <w:szCs w:val="20"/>
                <w:lang w:eastAsia="uk-UA"/>
              </w:rPr>
              <w:t xml:space="preserve">відрахування на </w:t>
            </w:r>
            <w:r>
              <w:rPr>
                <w:color w:val="000000"/>
                <w:sz w:val="20"/>
                <w:szCs w:val="20"/>
                <w:lang w:eastAsia="uk-UA"/>
              </w:rPr>
              <w:t>комунальні витрати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CEA" w:rsidRPr="008B2BE3" w:rsidRDefault="00EF0CEA" w:rsidP="00EF0CEA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 w:rsidRPr="008B2BE3">
              <w:rPr>
                <w:color w:val="000000"/>
                <w:sz w:val="16"/>
                <w:szCs w:val="16"/>
                <w:lang w:eastAsia="uk-UA"/>
              </w:rPr>
              <w:t>8/</w:t>
            </w:r>
            <w:r>
              <w:rPr>
                <w:color w:val="000000"/>
                <w:sz w:val="16"/>
                <w:szCs w:val="16"/>
                <w:lang w:eastAsia="uk-UA"/>
              </w:rPr>
              <w:t>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CEA" w:rsidRPr="008B2BE3" w:rsidRDefault="00EF0CEA" w:rsidP="00DF6BA0">
            <w:pPr>
              <w:jc w:val="right"/>
              <w:rPr>
                <w:color w:val="000000"/>
                <w:sz w:val="16"/>
                <w:szCs w:val="16"/>
                <w:lang w:eastAsia="uk-UA"/>
              </w:rPr>
            </w:pPr>
            <w:r>
              <w:rPr>
                <w:color w:val="000000"/>
                <w:sz w:val="16"/>
                <w:szCs w:val="16"/>
                <w:lang w:eastAsia="uk-UA"/>
              </w:rPr>
              <w:t>88,0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CEA" w:rsidRPr="008B2BE3" w:rsidRDefault="00EF0CEA" w:rsidP="00DF6BA0">
            <w:pPr>
              <w:jc w:val="right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CEA" w:rsidRPr="008B2BE3" w:rsidRDefault="00EF0CEA" w:rsidP="00DF6BA0">
            <w:pPr>
              <w:jc w:val="right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22,0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CEA" w:rsidRPr="008B2BE3" w:rsidRDefault="00EF0CEA" w:rsidP="00DF6BA0">
            <w:pPr>
              <w:jc w:val="right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CEA" w:rsidRPr="008B2BE3" w:rsidRDefault="00EF0CEA" w:rsidP="00DF6BA0">
            <w:pPr>
              <w:jc w:val="right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22,0</w:t>
            </w:r>
          </w:p>
        </w:tc>
      </w:tr>
      <w:tr w:rsidR="00EF0CEA" w:rsidRPr="00EF0CEA" w:rsidTr="00DF6BA0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CEA" w:rsidRPr="00EF0CEA" w:rsidRDefault="00EF0CEA" w:rsidP="00DF6BA0">
            <w:pPr>
              <w:rPr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EF0CEA">
              <w:rPr>
                <w:b/>
                <w:bCs/>
                <w:color w:val="000000"/>
                <w:sz w:val="20"/>
                <w:szCs w:val="20"/>
                <w:lang w:eastAsia="uk-UA"/>
              </w:rPr>
              <w:t>Інші адміністративні витрати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CEA" w:rsidRPr="00EF0CEA" w:rsidRDefault="00EF0CEA" w:rsidP="00DF6BA0">
            <w:pPr>
              <w:jc w:val="right"/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EF0CEA">
              <w:rPr>
                <w:b/>
                <w:bCs/>
                <w:color w:val="000000"/>
                <w:sz w:val="16"/>
                <w:szCs w:val="16"/>
                <w:lang w:eastAsia="uk-UA"/>
              </w:rPr>
              <w:t>8/22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CEA" w:rsidRPr="00EF0CEA" w:rsidRDefault="002A32C3" w:rsidP="002A32C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uk-UA"/>
              </w:rPr>
              <w:t>325</w:t>
            </w:r>
            <w:r w:rsidR="00EF0CEA" w:rsidRPr="00EF0CEA">
              <w:rPr>
                <w:b/>
                <w:bCs/>
                <w:color w:val="000000"/>
                <w:sz w:val="16"/>
                <w:szCs w:val="16"/>
                <w:lang w:eastAsia="uk-UA"/>
              </w:rPr>
              <w:t>,</w:t>
            </w:r>
            <w:r>
              <w:rPr>
                <w:b/>
                <w:bCs/>
                <w:color w:val="000000"/>
                <w:sz w:val="16"/>
                <w:szCs w:val="16"/>
                <w:lang w:eastAsia="uk-UA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CEA" w:rsidRPr="00EF0CEA" w:rsidRDefault="00EF0CEA" w:rsidP="002A32C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EF0CEA">
              <w:rPr>
                <w:b/>
                <w:bCs/>
                <w:color w:val="000000"/>
                <w:sz w:val="16"/>
                <w:szCs w:val="16"/>
                <w:lang w:eastAsia="uk-UA"/>
              </w:rPr>
              <w:t>1</w:t>
            </w:r>
            <w:r w:rsidR="002A32C3">
              <w:rPr>
                <w:b/>
                <w:bCs/>
                <w:color w:val="000000"/>
                <w:sz w:val="16"/>
                <w:szCs w:val="16"/>
                <w:lang w:eastAsia="uk-UA"/>
              </w:rPr>
              <w:t>6</w:t>
            </w:r>
            <w:r w:rsidRPr="00EF0CEA">
              <w:rPr>
                <w:b/>
                <w:bCs/>
                <w:color w:val="000000"/>
                <w:sz w:val="16"/>
                <w:szCs w:val="16"/>
                <w:lang w:eastAsia="uk-UA"/>
              </w:rPr>
              <w:t>1,</w:t>
            </w:r>
            <w:r w:rsidR="002A32C3">
              <w:rPr>
                <w:b/>
                <w:bCs/>
                <w:color w:val="000000"/>
                <w:sz w:val="16"/>
                <w:szCs w:val="16"/>
                <w:lang w:eastAsia="uk-UA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CEA" w:rsidRPr="00EF0CEA" w:rsidRDefault="002A32C3" w:rsidP="002A32C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uk-UA"/>
              </w:rPr>
              <w:t>73</w:t>
            </w:r>
            <w:r w:rsidR="00EF0CEA" w:rsidRPr="00EF0CEA">
              <w:rPr>
                <w:b/>
                <w:bCs/>
                <w:color w:val="000000"/>
                <w:sz w:val="16"/>
                <w:szCs w:val="16"/>
                <w:lang w:eastAsia="uk-UA"/>
              </w:rPr>
              <w:t>,</w:t>
            </w:r>
            <w:r>
              <w:rPr>
                <w:b/>
                <w:bCs/>
                <w:color w:val="000000"/>
                <w:sz w:val="16"/>
                <w:szCs w:val="16"/>
                <w:lang w:eastAsia="uk-UA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CEA" w:rsidRPr="00EF0CEA" w:rsidRDefault="002A32C3" w:rsidP="002A32C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uk-UA"/>
              </w:rPr>
              <w:t>44</w:t>
            </w:r>
            <w:r w:rsidR="00EF0CEA" w:rsidRPr="00EF0CEA">
              <w:rPr>
                <w:b/>
                <w:bCs/>
                <w:color w:val="000000"/>
                <w:sz w:val="16"/>
                <w:szCs w:val="16"/>
                <w:lang w:eastAsia="uk-UA"/>
              </w:rPr>
              <w:t>,</w:t>
            </w:r>
            <w:r>
              <w:rPr>
                <w:b/>
                <w:bCs/>
                <w:color w:val="000000"/>
                <w:sz w:val="16"/>
                <w:szCs w:val="16"/>
                <w:lang w:eastAsia="uk-UA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CEA" w:rsidRPr="00EF0CEA" w:rsidRDefault="00EE08C1" w:rsidP="00EE08C1">
            <w:pPr>
              <w:jc w:val="right"/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uk-UA"/>
              </w:rPr>
              <w:t>45</w:t>
            </w:r>
            <w:r w:rsidR="00EF0CEA" w:rsidRPr="00EF0CEA">
              <w:rPr>
                <w:b/>
                <w:bCs/>
                <w:color w:val="000000"/>
                <w:sz w:val="16"/>
                <w:szCs w:val="16"/>
                <w:lang w:eastAsia="uk-UA"/>
              </w:rPr>
              <w:t>,</w:t>
            </w:r>
            <w:r>
              <w:rPr>
                <w:b/>
                <w:bCs/>
                <w:color w:val="000000"/>
                <w:sz w:val="16"/>
                <w:szCs w:val="16"/>
                <w:lang w:eastAsia="uk-UA"/>
              </w:rPr>
              <w:t>4</w:t>
            </w:r>
          </w:p>
        </w:tc>
      </w:tr>
    </w:tbl>
    <w:p w:rsidR="00D23948" w:rsidRDefault="00D23948" w:rsidP="00F25B57">
      <w:pPr>
        <w:jc w:val="both"/>
        <w:rPr>
          <w:sz w:val="26"/>
          <w:szCs w:val="26"/>
        </w:rPr>
      </w:pPr>
    </w:p>
    <w:p w:rsidR="008B2BE3" w:rsidRDefault="004A05D4" w:rsidP="00F25B57">
      <w:pPr>
        <w:jc w:val="both"/>
        <w:rPr>
          <w:sz w:val="26"/>
          <w:szCs w:val="26"/>
        </w:rPr>
      </w:pPr>
      <w:r>
        <w:rPr>
          <w:sz w:val="26"/>
          <w:szCs w:val="26"/>
        </w:rPr>
        <w:t>Чистий дохід КНП «БЦСППД</w:t>
      </w:r>
      <w:r w:rsidR="00CB7211">
        <w:rPr>
          <w:sz w:val="26"/>
          <w:szCs w:val="26"/>
        </w:rPr>
        <w:t xml:space="preserve"> </w:t>
      </w:r>
      <w:r>
        <w:rPr>
          <w:sz w:val="26"/>
          <w:szCs w:val="26"/>
        </w:rPr>
        <w:t>БМР</w:t>
      </w:r>
      <w:r w:rsidR="00CB7211">
        <w:rPr>
          <w:sz w:val="26"/>
          <w:szCs w:val="26"/>
        </w:rPr>
        <w:t>»</w:t>
      </w:r>
      <w:r>
        <w:rPr>
          <w:sz w:val="26"/>
          <w:szCs w:val="26"/>
        </w:rPr>
        <w:t xml:space="preserve"> отримує за надання послуг від здійснення діяльності за основним КВЕД   </w:t>
      </w:r>
      <w:r w:rsidRPr="00292A9E">
        <w:rPr>
          <w:sz w:val="26"/>
          <w:szCs w:val="26"/>
        </w:rPr>
        <w:t>88.10 «Надання соціальної допомоги без забезпечення проживання для осіб похилого віку та інвалідів»</w:t>
      </w:r>
      <w:r w:rsidR="004C0223">
        <w:rPr>
          <w:sz w:val="26"/>
          <w:szCs w:val="26"/>
        </w:rPr>
        <w:t xml:space="preserve"> планується для витрат на потреби підприємства, а саме: </w:t>
      </w:r>
      <w:r w:rsidR="00B7033B">
        <w:rPr>
          <w:sz w:val="26"/>
          <w:szCs w:val="26"/>
        </w:rPr>
        <w:t xml:space="preserve">закупівлю основних засобів (ноутбуків та принтеру), </w:t>
      </w:r>
      <w:r w:rsidR="008B2BE3">
        <w:rPr>
          <w:sz w:val="26"/>
          <w:szCs w:val="26"/>
        </w:rPr>
        <w:t xml:space="preserve">послуг банку, </w:t>
      </w:r>
      <w:r w:rsidR="004C0223">
        <w:rPr>
          <w:sz w:val="26"/>
          <w:szCs w:val="26"/>
        </w:rPr>
        <w:t>закупівлю паперу, канцтов</w:t>
      </w:r>
      <w:r w:rsidR="00654ACD">
        <w:rPr>
          <w:sz w:val="26"/>
          <w:szCs w:val="26"/>
        </w:rPr>
        <w:t>а</w:t>
      </w:r>
      <w:r w:rsidR="004C0223">
        <w:rPr>
          <w:sz w:val="26"/>
          <w:szCs w:val="26"/>
        </w:rPr>
        <w:t>рів, заправку картриджів та програмного забезпечення.</w:t>
      </w:r>
      <w:r w:rsidR="00B7033B">
        <w:rPr>
          <w:sz w:val="26"/>
          <w:szCs w:val="26"/>
        </w:rPr>
        <w:t xml:space="preserve"> </w:t>
      </w:r>
      <w:r w:rsidR="008B2BE3">
        <w:rPr>
          <w:sz w:val="26"/>
          <w:szCs w:val="26"/>
        </w:rPr>
        <w:t xml:space="preserve"> </w:t>
      </w:r>
    </w:p>
    <w:p w:rsidR="008B2BE3" w:rsidRDefault="008B2BE3" w:rsidP="00F25B57">
      <w:pPr>
        <w:jc w:val="both"/>
        <w:rPr>
          <w:sz w:val="26"/>
          <w:szCs w:val="26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67"/>
        <w:gridCol w:w="709"/>
        <w:gridCol w:w="1275"/>
        <w:gridCol w:w="1418"/>
        <w:gridCol w:w="1276"/>
        <w:gridCol w:w="1275"/>
        <w:gridCol w:w="1134"/>
      </w:tblGrid>
      <w:tr w:rsidR="0000777F" w:rsidRPr="00D23948" w:rsidTr="0000777F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7F" w:rsidRPr="00D23948" w:rsidRDefault="0000777F" w:rsidP="00D23948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777F" w:rsidRPr="00D23948" w:rsidRDefault="0000777F" w:rsidP="00D23948">
            <w:pPr>
              <w:jc w:val="center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7F" w:rsidRPr="00D23948" w:rsidRDefault="0000777F" w:rsidP="00CE01AD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D23948">
              <w:rPr>
                <w:b/>
                <w:sz w:val="20"/>
                <w:szCs w:val="20"/>
                <w:lang w:eastAsia="uk-UA"/>
              </w:rPr>
              <w:t>План на 202</w:t>
            </w:r>
            <w:r w:rsidR="00CE01AD">
              <w:rPr>
                <w:b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7F" w:rsidRDefault="0000777F" w:rsidP="00D23948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D23948">
              <w:rPr>
                <w:b/>
                <w:sz w:val="20"/>
                <w:szCs w:val="20"/>
                <w:lang w:eastAsia="uk-UA"/>
              </w:rPr>
              <w:t>1кв</w:t>
            </w:r>
            <w:r>
              <w:rPr>
                <w:b/>
                <w:sz w:val="20"/>
                <w:szCs w:val="20"/>
                <w:lang w:eastAsia="uk-UA"/>
              </w:rPr>
              <w:t>.</w:t>
            </w:r>
          </w:p>
          <w:p w:rsidR="0000777F" w:rsidRPr="00D23948" w:rsidRDefault="0000777F" w:rsidP="00D23948">
            <w:pPr>
              <w:ind w:left="-44" w:firstLine="44"/>
              <w:jc w:val="center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7F" w:rsidRPr="00D23948" w:rsidRDefault="0000777F" w:rsidP="00D23948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D23948">
              <w:rPr>
                <w:b/>
                <w:sz w:val="20"/>
                <w:szCs w:val="20"/>
                <w:lang w:eastAsia="uk-UA"/>
              </w:rPr>
              <w:t>2кв.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7F" w:rsidRPr="00D23948" w:rsidRDefault="0000777F" w:rsidP="00D23948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D23948">
              <w:rPr>
                <w:b/>
                <w:sz w:val="20"/>
                <w:szCs w:val="20"/>
                <w:lang w:eastAsia="uk-UA"/>
              </w:rPr>
              <w:t>3кв.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7F" w:rsidRPr="00D23948" w:rsidRDefault="0000777F" w:rsidP="00D23948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D23948">
              <w:rPr>
                <w:b/>
                <w:sz w:val="20"/>
                <w:szCs w:val="20"/>
                <w:lang w:eastAsia="uk-UA"/>
              </w:rPr>
              <w:t>4кв.</w:t>
            </w:r>
          </w:p>
        </w:tc>
      </w:tr>
      <w:tr w:rsidR="00B7033B" w:rsidRPr="00D23948" w:rsidTr="0000777F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33B" w:rsidRPr="00B7033B" w:rsidRDefault="00B7033B" w:rsidP="00B7033B">
            <w:pPr>
              <w:rPr>
                <w:bCs/>
                <w:color w:val="000000"/>
                <w:lang w:eastAsia="uk-UA"/>
              </w:rPr>
            </w:pPr>
            <w:r w:rsidRPr="00B7033B">
              <w:rPr>
                <w:bCs/>
                <w:color w:val="000000"/>
                <w:lang w:eastAsia="uk-UA"/>
              </w:rPr>
              <w:t>Витрати на придбання основних засобів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033B" w:rsidRPr="00B7033B" w:rsidRDefault="00B7033B" w:rsidP="00D23948">
            <w:pPr>
              <w:jc w:val="center"/>
              <w:rPr>
                <w:sz w:val="16"/>
                <w:szCs w:val="16"/>
                <w:lang w:eastAsia="uk-UA"/>
              </w:rPr>
            </w:pPr>
            <w:r w:rsidRPr="00B7033B">
              <w:rPr>
                <w:sz w:val="16"/>
                <w:szCs w:val="16"/>
                <w:lang w:eastAsia="uk-UA"/>
              </w:rPr>
              <w:t>8/22/1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33B" w:rsidRPr="00B7033B" w:rsidRDefault="00B7033B" w:rsidP="00CE01AD">
            <w:pPr>
              <w:jc w:val="center"/>
              <w:rPr>
                <w:sz w:val="16"/>
                <w:szCs w:val="16"/>
                <w:lang w:eastAsia="uk-UA"/>
              </w:rPr>
            </w:pPr>
            <w:r w:rsidRPr="00B7033B">
              <w:rPr>
                <w:sz w:val="16"/>
                <w:szCs w:val="16"/>
                <w:lang w:eastAsia="uk-UA"/>
              </w:rPr>
              <w:t>57,0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33B" w:rsidRPr="00B7033B" w:rsidRDefault="00B7033B" w:rsidP="00D23948">
            <w:pPr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28,5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33B" w:rsidRPr="00B7033B" w:rsidRDefault="00B7033B" w:rsidP="00D23948">
            <w:pPr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28,5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33B" w:rsidRPr="00B7033B" w:rsidRDefault="00B7033B" w:rsidP="00D23948">
            <w:pPr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33B" w:rsidRPr="00B7033B" w:rsidRDefault="00B7033B" w:rsidP="00D23948">
            <w:pPr>
              <w:jc w:val="center"/>
              <w:rPr>
                <w:sz w:val="16"/>
                <w:szCs w:val="16"/>
                <w:lang w:eastAsia="uk-UA"/>
              </w:rPr>
            </w:pPr>
          </w:p>
        </w:tc>
      </w:tr>
      <w:tr w:rsidR="0000777F" w:rsidRPr="00D23948" w:rsidTr="0000777F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77F" w:rsidRDefault="0000777F">
            <w:pPr>
              <w:rPr>
                <w:color w:val="000000"/>
              </w:rPr>
            </w:pPr>
            <w:r>
              <w:rPr>
                <w:color w:val="000000"/>
              </w:rPr>
              <w:t>послуги банку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777F" w:rsidRPr="008B2BE3" w:rsidRDefault="0000777F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8/22/2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77F" w:rsidRPr="008B2BE3" w:rsidRDefault="00B7033B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77F" w:rsidRPr="008B2BE3" w:rsidRDefault="00B7033B" w:rsidP="00B703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77F" w:rsidRPr="008B2BE3" w:rsidRDefault="00B7033B" w:rsidP="00B703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77F" w:rsidRPr="008B2BE3" w:rsidRDefault="00B7033B" w:rsidP="00B703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77F" w:rsidRPr="008B2BE3" w:rsidRDefault="00B7033B" w:rsidP="00B703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</w:t>
            </w:r>
          </w:p>
        </w:tc>
      </w:tr>
      <w:tr w:rsidR="0000777F" w:rsidRPr="00D23948" w:rsidTr="0000777F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7F" w:rsidRDefault="0000777F">
            <w:pPr>
              <w:rPr>
                <w:color w:val="000000"/>
              </w:rPr>
            </w:pPr>
            <w:r>
              <w:rPr>
                <w:color w:val="000000"/>
              </w:rPr>
              <w:t>обслуговування офісної техніки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777F" w:rsidRPr="008B2BE3" w:rsidRDefault="0000777F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8/22/3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7F" w:rsidRPr="008B2BE3" w:rsidRDefault="00B7033B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7F" w:rsidRPr="008B2BE3" w:rsidRDefault="00B7033B" w:rsidP="00B703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7F" w:rsidRPr="008B2BE3" w:rsidRDefault="00B7033B" w:rsidP="00B703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7F" w:rsidRPr="008B2BE3" w:rsidRDefault="00B7033B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77F" w:rsidRPr="008B2BE3" w:rsidRDefault="00B7033B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12,4</w:t>
            </w:r>
          </w:p>
        </w:tc>
      </w:tr>
      <w:tr w:rsidR="0000777F" w:rsidRPr="00D23948" w:rsidTr="0000777F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7F" w:rsidRDefault="0000777F">
            <w:pPr>
              <w:rPr>
                <w:color w:val="000000"/>
              </w:rPr>
            </w:pPr>
            <w:r>
              <w:rPr>
                <w:color w:val="000000"/>
              </w:rPr>
              <w:t>витрати за програмне забезпечення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777F" w:rsidRPr="008B2BE3" w:rsidRDefault="0000777F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8/22/4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77F" w:rsidRPr="008B2BE3" w:rsidRDefault="00B7033B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7F" w:rsidRPr="008B2BE3" w:rsidRDefault="00B7033B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7F" w:rsidRPr="008B2BE3" w:rsidRDefault="00B7033B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7F" w:rsidRPr="008B2BE3" w:rsidRDefault="00B7033B" w:rsidP="00B703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77F" w:rsidRPr="008B2BE3" w:rsidRDefault="00B7033B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00777F" w:rsidRPr="00D23948" w:rsidTr="0000777F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7F" w:rsidRDefault="0000777F">
            <w:pPr>
              <w:rPr>
                <w:color w:val="000000"/>
              </w:rPr>
            </w:pPr>
            <w:r>
              <w:rPr>
                <w:color w:val="000000"/>
              </w:rPr>
              <w:t>канцтовари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777F" w:rsidRPr="008B2BE3" w:rsidRDefault="0000777F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8/22/5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77F" w:rsidRPr="008B2BE3" w:rsidRDefault="00B7033B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7F" w:rsidRPr="008B2BE3" w:rsidRDefault="00B7033B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7F" w:rsidRPr="008B2BE3" w:rsidRDefault="00B7033B" w:rsidP="00B703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7F" w:rsidRPr="008B2BE3" w:rsidRDefault="00B7033B" w:rsidP="00B703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77F" w:rsidRPr="008B2BE3" w:rsidRDefault="00B7033B" w:rsidP="00B7033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31,5</w:t>
            </w:r>
          </w:p>
        </w:tc>
      </w:tr>
    </w:tbl>
    <w:p w:rsidR="00D23948" w:rsidRPr="00D23948" w:rsidRDefault="00D23948" w:rsidP="00F25B57">
      <w:pPr>
        <w:jc w:val="both"/>
        <w:rPr>
          <w:sz w:val="20"/>
          <w:szCs w:val="20"/>
        </w:rPr>
      </w:pPr>
    </w:p>
    <w:p w:rsidR="006E791D" w:rsidRDefault="006E791D" w:rsidP="00F25B57">
      <w:pPr>
        <w:jc w:val="both"/>
        <w:rPr>
          <w:sz w:val="26"/>
          <w:szCs w:val="26"/>
        </w:rPr>
      </w:pPr>
    </w:p>
    <w:p w:rsidR="008F079D" w:rsidRPr="008F079D" w:rsidRDefault="008F079D" w:rsidP="008F079D">
      <w:pPr>
        <w:jc w:val="both"/>
        <w:rPr>
          <w:sz w:val="26"/>
          <w:szCs w:val="26"/>
        </w:rPr>
      </w:pPr>
      <w:r w:rsidRPr="008F079D">
        <w:rPr>
          <w:b/>
          <w:bCs/>
          <w:sz w:val="26"/>
          <w:szCs w:val="26"/>
        </w:rPr>
        <w:t>Основне завдання Центру: запобігти потраплянню осіб/сімей, які належать до вразливих груп населення, в складні життєві обставини та не залишити без допомоги жодної людини, яка потребує підтримки.</w:t>
      </w:r>
    </w:p>
    <w:p w:rsidR="008F079D" w:rsidRPr="008F079D" w:rsidRDefault="008F079D" w:rsidP="008F079D">
      <w:pPr>
        <w:jc w:val="both"/>
        <w:rPr>
          <w:sz w:val="26"/>
          <w:szCs w:val="26"/>
        </w:rPr>
      </w:pPr>
      <w:r w:rsidRPr="008F079D">
        <w:rPr>
          <w:sz w:val="26"/>
          <w:szCs w:val="26"/>
        </w:rPr>
        <w:t>Центр планує надавати такі  соціальні послуги громадянам, які перебувають у складних життєвих обставинах і потребують сторонньої допомоги:</w:t>
      </w:r>
    </w:p>
    <w:p w:rsidR="008F079D" w:rsidRPr="008F079D" w:rsidRDefault="008F079D" w:rsidP="008F079D">
      <w:pPr>
        <w:jc w:val="both"/>
        <w:rPr>
          <w:sz w:val="26"/>
          <w:szCs w:val="26"/>
        </w:rPr>
      </w:pPr>
      <w:r w:rsidRPr="008F079D">
        <w:rPr>
          <w:sz w:val="26"/>
          <w:szCs w:val="26"/>
        </w:rPr>
        <w:t>догляд вдома;</w:t>
      </w:r>
    </w:p>
    <w:p w:rsidR="008F079D" w:rsidRPr="008F079D" w:rsidRDefault="008F079D" w:rsidP="008F079D">
      <w:pPr>
        <w:jc w:val="both"/>
        <w:rPr>
          <w:sz w:val="26"/>
          <w:szCs w:val="26"/>
        </w:rPr>
      </w:pPr>
      <w:r w:rsidRPr="008F079D">
        <w:rPr>
          <w:sz w:val="26"/>
          <w:szCs w:val="26"/>
        </w:rPr>
        <w:t>соціальна адаптація;</w:t>
      </w:r>
    </w:p>
    <w:p w:rsidR="008F079D" w:rsidRPr="008F079D" w:rsidRDefault="008F079D" w:rsidP="008F079D">
      <w:pPr>
        <w:jc w:val="both"/>
        <w:rPr>
          <w:sz w:val="26"/>
          <w:szCs w:val="26"/>
        </w:rPr>
      </w:pPr>
      <w:r w:rsidRPr="008F079D">
        <w:rPr>
          <w:sz w:val="26"/>
          <w:szCs w:val="26"/>
        </w:rPr>
        <w:t>соціальна інтеграція та реінтеграція;</w:t>
      </w:r>
    </w:p>
    <w:p w:rsidR="008F079D" w:rsidRPr="008F079D" w:rsidRDefault="008F079D" w:rsidP="008F079D">
      <w:pPr>
        <w:jc w:val="both"/>
        <w:rPr>
          <w:sz w:val="26"/>
          <w:szCs w:val="26"/>
        </w:rPr>
      </w:pPr>
      <w:r w:rsidRPr="008F079D">
        <w:rPr>
          <w:sz w:val="26"/>
          <w:szCs w:val="26"/>
        </w:rPr>
        <w:t>екстрене (кризове) втручання;</w:t>
      </w:r>
    </w:p>
    <w:p w:rsidR="008F079D" w:rsidRPr="008F079D" w:rsidRDefault="008F079D" w:rsidP="008F079D">
      <w:pPr>
        <w:jc w:val="both"/>
        <w:rPr>
          <w:sz w:val="26"/>
          <w:szCs w:val="26"/>
        </w:rPr>
      </w:pPr>
      <w:r w:rsidRPr="008F079D">
        <w:rPr>
          <w:sz w:val="26"/>
          <w:szCs w:val="26"/>
        </w:rPr>
        <w:t>консультування;</w:t>
      </w:r>
    </w:p>
    <w:p w:rsidR="008F079D" w:rsidRPr="008F079D" w:rsidRDefault="008F079D" w:rsidP="008F079D">
      <w:pPr>
        <w:jc w:val="both"/>
        <w:rPr>
          <w:sz w:val="26"/>
          <w:szCs w:val="26"/>
        </w:rPr>
      </w:pPr>
      <w:r w:rsidRPr="008F079D">
        <w:rPr>
          <w:sz w:val="26"/>
          <w:szCs w:val="26"/>
        </w:rPr>
        <w:t>соціальний супровід сімей/осіб, які перебувають у складних життєвих обставинах;</w:t>
      </w:r>
    </w:p>
    <w:p w:rsidR="008F079D" w:rsidRPr="008F079D" w:rsidRDefault="008F079D" w:rsidP="008F079D">
      <w:pPr>
        <w:jc w:val="both"/>
        <w:rPr>
          <w:sz w:val="26"/>
          <w:szCs w:val="26"/>
        </w:rPr>
      </w:pPr>
      <w:r w:rsidRPr="008F079D">
        <w:rPr>
          <w:sz w:val="26"/>
          <w:szCs w:val="26"/>
        </w:rPr>
        <w:t>соціальний супровід сімей, у яких виховуються діти-сироти і діти, позбавлені батьківського піклування;</w:t>
      </w:r>
    </w:p>
    <w:p w:rsidR="008F079D" w:rsidRPr="008F079D" w:rsidRDefault="008F079D" w:rsidP="008F079D">
      <w:pPr>
        <w:jc w:val="both"/>
        <w:rPr>
          <w:sz w:val="26"/>
          <w:szCs w:val="26"/>
        </w:rPr>
      </w:pPr>
      <w:r w:rsidRPr="008F079D">
        <w:rPr>
          <w:sz w:val="26"/>
          <w:szCs w:val="26"/>
        </w:rPr>
        <w:t>представництво інтересів;</w:t>
      </w:r>
    </w:p>
    <w:p w:rsidR="008F079D" w:rsidRPr="008F079D" w:rsidRDefault="008F079D" w:rsidP="008F079D">
      <w:pPr>
        <w:jc w:val="both"/>
        <w:rPr>
          <w:sz w:val="26"/>
          <w:szCs w:val="26"/>
        </w:rPr>
      </w:pPr>
      <w:r w:rsidRPr="008F079D">
        <w:rPr>
          <w:sz w:val="26"/>
          <w:szCs w:val="26"/>
        </w:rPr>
        <w:t>соціальна профілактика;</w:t>
      </w:r>
    </w:p>
    <w:p w:rsidR="008F079D" w:rsidRPr="008F079D" w:rsidRDefault="008F079D" w:rsidP="008F079D">
      <w:pPr>
        <w:jc w:val="both"/>
        <w:rPr>
          <w:sz w:val="26"/>
          <w:szCs w:val="26"/>
        </w:rPr>
      </w:pPr>
      <w:r w:rsidRPr="008F079D">
        <w:rPr>
          <w:sz w:val="26"/>
          <w:szCs w:val="26"/>
        </w:rPr>
        <w:t>натуральна допомога;</w:t>
      </w:r>
    </w:p>
    <w:p w:rsidR="008F079D" w:rsidRPr="008F079D" w:rsidRDefault="00871FC5" w:rsidP="008F079D">
      <w:pPr>
        <w:jc w:val="both"/>
        <w:rPr>
          <w:sz w:val="26"/>
          <w:szCs w:val="26"/>
        </w:rPr>
      </w:pPr>
      <w:r>
        <w:rPr>
          <w:sz w:val="26"/>
          <w:szCs w:val="26"/>
        </w:rPr>
        <w:t>інформування.</w:t>
      </w:r>
    </w:p>
    <w:p w:rsidR="008F079D" w:rsidRPr="008F079D" w:rsidRDefault="008F079D" w:rsidP="00CD0638">
      <w:pPr>
        <w:jc w:val="both"/>
        <w:rPr>
          <w:sz w:val="26"/>
          <w:szCs w:val="26"/>
        </w:rPr>
      </w:pPr>
      <w:r w:rsidRPr="008F079D">
        <w:rPr>
          <w:b/>
          <w:bCs/>
          <w:sz w:val="26"/>
          <w:szCs w:val="26"/>
        </w:rPr>
        <w:t>   </w:t>
      </w:r>
    </w:p>
    <w:p w:rsidR="008F079D" w:rsidRDefault="008F079D" w:rsidP="00F25B57">
      <w:pPr>
        <w:jc w:val="both"/>
        <w:rPr>
          <w:sz w:val="26"/>
          <w:szCs w:val="26"/>
        </w:rPr>
      </w:pPr>
    </w:p>
    <w:p w:rsidR="00094DFF" w:rsidRDefault="00094DFF" w:rsidP="00F25B57">
      <w:pPr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Оплата праці</w:t>
      </w:r>
    </w:p>
    <w:p w:rsidR="00094DFF" w:rsidRDefault="00094DFF" w:rsidP="00F25B57">
      <w:pPr>
        <w:jc w:val="both"/>
        <w:rPr>
          <w:b/>
          <w:i/>
          <w:sz w:val="26"/>
          <w:szCs w:val="26"/>
        </w:rPr>
      </w:pPr>
    </w:p>
    <w:p w:rsidR="00094DFF" w:rsidRDefault="00094DFF" w:rsidP="00F25B57">
      <w:pPr>
        <w:jc w:val="both"/>
        <w:rPr>
          <w:sz w:val="26"/>
          <w:szCs w:val="26"/>
        </w:rPr>
      </w:pPr>
      <w:r>
        <w:rPr>
          <w:sz w:val="26"/>
          <w:szCs w:val="26"/>
        </w:rPr>
        <w:t>Оплата праці на підприємстві здійснюється відповідно до наказу Міністерства праці та соціальної  політики України, положень колективного договору, штатного розпису, а також згідно умов контракту з директором підприємства. Розрахунок посадових окладів всіх працівників на 202</w:t>
      </w:r>
      <w:r w:rsidR="00B7033B">
        <w:rPr>
          <w:sz w:val="26"/>
          <w:szCs w:val="26"/>
        </w:rPr>
        <w:t>5</w:t>
      </w:r>
      <w:r>
        <w:rPr>
          <w:sz w:val="26"/>
          <w:szCs w:val="26"/>
        </w:rPr>
        <w:t xml:space="preserve"> рік </w:t>
      </w:r>
      <w:r w:rsidR="005A5E26">
        <w:rPr>
          <w:sz w:val="26"/>
          <w:szCs w:val="26"/>
        </w:rPr>
        <w:t xml:space="preserve">буде </w:t>
      </w:r>
      <w:r w:rsidR="008A016A">
        <w:rPr>
          <w:sz w:val="26"/>
          <w:szCs w:val="26"/>
        </w:rPr>
        <w:t>здійснюватися</w:t>
      </w:r>
      <w:r w:rsidR="005A5E26">
        <w:rPr>
          <w:sz w:val="26"/>
          <w:szCs w:val="26"/>
        </w:rPr>
        <w:t xml:space="preserve"> з урахуванням </w:t>
      </w:r>
      <w:r w:rsidR="0072129D">
        <w:rPr>
          <w:sz w:val="26"/>
          <w:szCs w:val="26"/>
        </w:rPr>
        <w:t xml:space="preserve">Єдиної тарифної сітки (з січня по </w:t>
      </w:r>
      <w:r w:rsidR="008A016A">
        <w:rPr>
          <w:sz w:val="26"/>
          <w:szCs w:val="26"/>
        </w:rPr>
        <w:t>грудень</w:t>
      </w:r>
      <w:r w:rsidR="0072129D">
        <w:rPr>
          <w:sz w:val="26"/>
          <w:szCs w:val="26"/>
        </w:rPr>
        <w:t xml:space="preserve"> 202</w:t>
      </w:r>
      <w:r w:rsidR="00B7033B">
        <w:rPr>
          <w:sz w:val="26"/>
          <w:szCs w:val="26"/>
        </w:rPr>
        <w:t>5</w:t>
      </w:r>
      <w:r w:rsidR="0072129D">
        <w:rPr>
          <w:sz w:val="26"/>
          <w:szCs w:val="26"/>
        </w:rPr>
        <w:t xml:space="preserve"> року розміру з </w:t>
      </w:r>
      <w:r w:rsidR="00B7033B">
        <w:rPr>
          <w:sz w:val="26"/>
          <w:szCs w:val="26"/>
        </w:rPr>
        <w:t>3195</w:t>
      </w:r>
      <w:r w:rsidR="0072129D">
        <w:rPr>
          <w:sz w:val="26"/>
          <w:szCs w:val="26"/>
        </w:rPr>
        <w:t>,00 грн на місяць)</w:t>
      </w:r>
      <w:r w:rsidR="005A5E26">
        <w:rPr>
          <w:sz w:val="26"/>
          <w:szCs w:val="26"/>
        </w:rPr>
        <w:t>,  оклади заступників та бухгалтера, буде розраховано на 5-10 відсотків нижче рівня</w:t>
      </w:r>
      <w:r w:rsidR="006E791D">
        <w:rPr>
          <w:sz w:val="26"/>
          <w:szCs w:val="26"/>
        </w:rPr>
        <w:t xml:space="preserve"> директора.</w:t>
      </w:r>
      <w:r w:rsidR="005A5E26">
        <w:rPr>
          <w:sz w:val="26"/>
          <w:szCs w:val="26"/>
        </w:rPr>
        <w:t xml:space="preserve"> </w:t>
      </w:r>
    </w:p>
    <w:p w:rsidR="00263DA7" w:rsidRDefault="00263DA7" w:rsidP="00F25B5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Розмір витрат на оплату праці працівників заплановано </w:t>
      </w:r>
      <w:r w:rsidR="00371AFE">
        <w:rPr>
          <w:sz w:val="26"/>
          <w:szCs w:val="26"/>
        </w:rPr>
        <w:t>на</w:t>
      </w:r>
      <w:r>
        <w:rPr>
          <w:sz w:val="26"/>
          <w:szCs w:val="26"/>
        </w:rPr>
        <w:t xml:space="preserve"> 202</w:t>
      </w:r>
      <w:r w:rsidR="00B7033B">
        <w:rPr>
          <w:sz w:val="26"/>
          <w:szCs w:val="26"/>
        </w:rPr>
        <w:t>5</w:t>
      </w:r>
      <w:r w:rsidR="00371AFE">
        <w:rPr>
          <w:sz w:val="26"/>
          <w:szCs w:val="26"/>
        </w:rPr>
        <w:t xml:space="preserve"> </w:t>
      </w:r>
      <w:r>
        <w:rPr>
          <w:sz w:val="26"/>
          <w:szCs w:val="26"/>
        </w:rPr>
        <w:t>рік, виходячи з умов повної зайнятості.</w:t>
      </w:r>
    </w:p>
    <w:p w:rsidR="00B7033B" w:rsidRPr="00094DFF" w:rsidRDefault="00B7033B" w:rsidP="00F25B57">
      <w:pPr>
        <w:jc w:val="both"/>
        <w:rPr>
          <w:sz w:val="26"/>
          <w:szCs w:val="26"/>
        </w:rPr>
      </w:pPr>
      <w:r>
        <w:rPr>
          <w:sz w:val="26"/>
          <w:szCs w:val="26"/>
        </w:rPr>
        <w:t>Згідно Постанови КМУ «Про деякі питання оплати праці фахівців із супроводу ветеранів війни та демобілізованих осіб» від 02.08.2024 року № 868 на 2025 рік планується введення 15 штатних одиниць фахівців із супроводу ветеранів війни та демобілізованих осіб</w:t>
      </w:r>
      <w:r w:rsidR="00BF6998">
        <w:rPr>
          <w:sz w:val="26"/>
          <w:szCs w:val="26"/>
        </w:rPr>
        <w:t>, фінансування яких буде отримуватися з державного бюджету.</w:t>
      </w:r>
      <w:r w:rsidR="00BF6998" w:rsidRPr="00BF6998">
        <w:rPr>
          <w:sz w:val="26"/>
          <w:szCs w:val="26"/>
        </w:rPr>
        <w:t xml:space="preserve"> </w:t>
      </w:r>
      <w:r w:rsidR="00BF6998">
        <w:rPr>
          <w:sz w:val="26"/>
          <w:szCs w:val="26"/>
        </w:rPr>
        <w:t xml:space="preserve">Розрахунок посадових окладів всіх працівників на 2025 рік буде здійснюватися згідно додатку 2 до Постанови КМУ «Про оплату праці працівників на основі Єдиної тарифної сітки розрядів і коефіцієнтів з оплати праці працівників, установ, закладів та організації окремих галузей бюджетної сфери»  від 30.08.2002 року №1298 та змін до неї. </w:t>
      </w:r>
    </w:p>
    <w:p w:rsidR="00094DFF" w:rsidRDefault="00094DFF" w:rsidP="00F25B57">
      <w:pPr>
        <w:jc w:val="both"/>
        <w:rPr>
          <w:sz w:val="26"/>
          <w:szCs w:val="26"/>
        </w:rPr>
      </w:pPr>
    </w:p>
    <w:p w:rsidR="00CD0638" w:rsidRDefault="00CD0638" w:rsidP="00F25B57">
      <w:pPr>
        <w:jc w:val="both"/>
        <w:rPr>
          <w:b/>
          <w:sz w:val="26"/>
          <w:szCs w:val="26"/>
        </w:rPr>
      </w:pPr>
      <w:r w:rsidRPr="00CD0638">
        <w:rPr>
          <w:b/>
          <w:sz w:val="26"/>
          <w:szCs w:val="26"/>
        </w:rPr>
        <w:t>Плани на 202</w:t>
      </w:r>
      <w:r w:rsidR="00BF6998">
        <w:rPr>
          <w:b/>
          <w:sz w:val="26"/>
          <w:szCs w:val="26"/>
        </w:rPr>
        <w:t xml:space="preserve">5 </w:t>
      </w:r>
      <w:r w:rsidRPr="00CD0638">
        <w:rPr>
          <w:b/>
          <w:sz w:val="26"/>
          <w:szCs w:val="26"/>
        </w:rPr>
        <w:t>рік</w:t>
      </w:r>
    </w:p>
    <w:p w:rsidR="00CD0638" w:rsidRPr="00CD0638" w:rsidRDefault="00CD0638" w:rsidP="00F25B57">
      <w:pPr>
        <w:jc w:val="both"/>
        <w:rPr>
          <w:b/>
          <w:sz w:val="26"/>
          <w:szCs w:val="26"/>
        </w:rPr>
      </w:pPr>
    </w:p>
    <w:p w:rsidR="00E75E3F" w:rsidRDefault="00142D69" w:rsidP="00F25B57">
      <w:pPr>
        <w:jc w:val="both"/>
        <w:rPr>
          <w:sz w:val="26"/>
          <w:szCs w:val="26"/>
        </w:rPr>
      </w:pPr>
      <w:r>
        <w:rPr>
          <w:sz w:val="26"/>
          <w:szCs w:val="26"/>
        </w:rPr>
        <w:t>Протягом періоду Комунальне некомерційне підприємство «</w:t>
      </w:r>
      <w:proofErr w:type="spellStart"/>
      <w:r>
        <w:rPr>
          <w:sz w:val="26"/>
          <w:szCs w:val="26"/>
        </w:rPr>
        <w:t>Бучанський</w:t>
      </w:r>
      <w:proofErr w:type="spellEnd"/>
      <w:r>
        <w:rPr>
          <w:sz w:val="26"/>
          <w:szCs w:val="26"/>
        </w:rPr>
        <w:t xml:space="preserve"> центр соціальних послуг та психологічної допомоги» Бучанської міської ради буде вживати заходи для збільшення прибутку, а саме:</w:t>
      </w:r>
    </w:p>
    <w:p w:rsidR="00E75E3F" w:rsidRDefault="00E75E3F" w:rsidP="00E75E3F">
      <w:pPr>
        <w:pStyle w:val="a4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Аналіз та вивчення потреби в послугах в </w:t>
      </w:r>
      <w:proofErr w:type="spellStart"/>
      <w:r>
        <w:rPr>
          <w:sz w:val="26"/>
          <w:szCs w:val="26"/>
        </w:rPr>
        <w:t>Бучанській</w:t>
      </w:r>
      <w:proofErr w:type="spellEnd"/>
      <w:r>
        <w:rPr>
          <w:sz w:val="26"/>
          <w:szCs w:val="26"/>
        </w:rPr>
        <w:t xml:space="preserve"> міській територіальній громаді.</w:t>
      </w:r>
    </w:p>
    <w:p w:rsidR="00E75E3F" w:rsidRDefault="00E75E3F" w:rsidP="00E75E3F">
      <w:pPr>
        <w:pStyle w:val="a4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Впровадження нових послуг на платній основі.</w:t>
      </w:r>
    </w:p>
    <w:p w:rsidR="00E75E3F" w:rsidRDefault="00E75E3F" w:rsidP="00E75E3F">
      <w:pPr>
        <w:pStyle w:val="a4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Вивчення та підвищення кваліфікації спеціалістів для якісного надання  соціальних послуг.  </w:t>
      </w:r>
    </w:p>
    <w:p w:rsidR="00142D69" w:rsidRDefault="00E75E3F" w:rsidP="00F25B57">
      <w:pPr>
        <w:pStyle w:val="a4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Участь у </w:t>
      </w:r>
      <w:proofErr w:type="spellStart"/>
      <w:r>
        <w:rPr>
          <w:sz w:val="26"/>
          <w:szCs w:val="26"/>
        </w:rPr>
        <w:t>проєктах</w:t>
      </w:r>
      <w:proofErr w:type="spellEnd"/>
      <w:r>
        <w:rPr>
          <w:sz w:val="26"/>
          <w:szCs w:val="26"/>
        </w:rPr>
        <w:t xml:space="preserve"> та грантах для </w:t>
      </w:r>
      <w:r w:rsidR="00654ACD">
        <w:rPr>
          <w:sz w:val="26"/>
          <w:szCs w:val="26"/>
        </w:rPr>
        <w:t xml:space="preserve">залучення додаткових коштах. </w:t>
      </w:r>
    </w:p>
    <w:p w:rsidR="00A0639A" w:rsidRDefault="00A0639A" w:rsidP="00A0639A">
      <w:pPr>
        <w:pStyle w:val="a4"/>
        <w:jc w:val="both"/>
        <w:rPr>
          <w:sz w:val="26"/>
          <w:szCs w:val="26"/>
        </w:rPr>
      </w:pPr>
    </w:p>
    <w:p w:rsidR="00A0639A" w:rsidRDefault="00A0639A" w:rsidP="00A0639A">
      <w:pPr>
        <w:pStyle w:val="a4"/>
        <w:jc w:val="both"/>
        <w:rPr>
          <w:sz w:val="26"/>
          <w:szCs w:val="26"/>
        </w:rPr>
      </w:pPr>
    </w:p>
    <w:p w:rsidR="00A0639A" w:rsidRDefault="00A0639A" w:rsidP="00A0639A">
      <w:pPr>
        <w:pStyle w:val="a4"/>
        <w:jc w:val="both"/>
        <w:rPr>
          <w:sz w:val="26"/>
          <w:szCs w:val="26"/>
        </w:rPr>
      </w:pPr>
    </w:p>
    <w:p w:rsidR="00A0639A" w:rsidRDefault="00A0639A" w:rsidP="00A0639A">
      <w:pPr>
        <w:pStyle w:val="a4"/>
        <w:jc w:val="both"/>
        <w:rPr>
          <w:sz w:val="26"/>
          <w:szCs w:val="26"/>
        </w:rPr>
      </w:pPr>
    </w:p>
    <w:p w:rsidR="00A0639A" w:rsidRDefault="00A0639A" w:rsidP="00A0639A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Pr="00A0639A">
        <w:rPr>
          <w:b/>
          <w:sz w:val="26"/>
          <w:szCs w:val="26"/>
        </w:rPr>
        <w:t xml:space="preserve">Директор                                      </w:t>
      </w:r>
      <w:r>
        <w:rPr>
          <w:b/>
          <w:sz w:val="26"/>
          <w:szCs w:val="26"/>
        </w:rPr>
        <w:t xml:space="preserve">          </w:t>
      </w:r>
      <w:r w:rsidRPr="00A0639A">
        <w:rPr>
          <w:b/>
          <w:sz w:val="26"/>
          <w:szCs w:val="26"/>
        </w:rPr>
        <w:t xml:space="preserve">                                Олена РЕНЧКА</w:t>
      </w:r>
    </w:p>
    <w:p w:rsidR="00A0639A" w:rsidRDefault="00A0639A" w:rsidP="00A0639A">
      <w:pPr>
        <w:jc w:val="both"/>
        <w:rPr>
          <w:b/>
          <w:sz w:val="26"/>
          <w:szCs w:val="26"/>
        </w:rPr>
      </w:pPr>
    </w:p>
    <w:p w:rsidR="00A0639A" w:rsidRDefault="00A0639A" w:rsidP="00A0639A">
      <w:pPr>
        <w:jc w:val="both"/>
        <w:rPr>
          <w:b/>
          <w:sz w:val="26"/>
          <w:szCs w:val="26"/>
        </w:rPr>
      </w:pPr>
    </w:p>
    <w:p w:rsidR="00A0639A" w:rsidRDefault="00A0639A" w:rsidP="00A0639A">
      <w:pPr>
        <w:jc w:val="both"/>
        <w:rPr>
          <w:b/>
          <w:sz w:val="26"/>
          <w:szCs w:val="26"/>
        </w:rPr>
      </w:pPr>
    </w:p>
    <w:p w:rsidR="00A0639A" w:rsidRDefault="00A0639A" w:rsidP="00A0639A">
      <w:pPr>
        <w:jc w:val="both"/>
        <w:rPr>
          <w:b/>
          <w:sz w:val="26"/>
          <w:szCs w:val="26"/>
        </w:rPr>
      </w:pPr>
    </w:p>
    <w:p w:rsidR="00A0639A" w:rsidRDefault="00A0639A" w:rsidP="00A0639A">
      <w:pPr>
        <w:jc w:val="both"/>
        <w:rPr>
          <w:b/>
          <w:sz w:val="26"/>
          <w:szCs w:val="26"/>
        </w:rPr>
      </w:pPr>
    </w:p>
    <w:p w:rsidR="00A0639A" w:rsidRDefault="00A0639A" w:rsidP="00A0639A">
      <w:pPr>
        <w:jc w:val="both"/>
        <w:rPr>
          <w:b/>
          <w:sz w:val="26"/>
          <w:szCs w:val="26"/>
        </w:rPr>
      </w:pPr>
    </w:p>
    <w:p w:rsidR="00A0639A" w:rsidRDefault="00A0639A" w:rsidP="00A0639A">
      <w:pPr>
        <w:jc w:val="both"/>
        <w:rPr>
          <w:b/>
          <w:sz w:val="26"/>
          <w:szCs w:val="26"/>
        </w:rPr>
      </w:pPr>
    </w:p>
    <w:p w:rsidR="00A0639A" w:rsidRPr="00A0639A" w:rsidRDefault="00A0639A" w:rsidP="00A0639A">
      <w:pPr>
        <w:jc w:val="both"/>
        <w:rPr>
          <w:sz w:val="20"/>
          <w:szCs w:val="20"/>
        </w:rPr>
      </w:pPr>
      <w:r w:rsidRPr="00A0639A">
        <w:rPr>
          <w:sz w:val="20"/>
          <w:szCs w:val="20"/>
        </w:rPr>
        <w:t>Виконавець</w:t>
      </w:r>
    </w:p>
    <w:p w:rsidR="00A0639A" w:rsidRPr="00A0639A" w:rsidRDefault="00A0639A" w:rsidP="00A0639A">
      <w:pPr>
        <w:jc w:val="both"/>
        <w:rPr>
          <w:sz w:val="20"/>
          <w:szCs w:val="20"/>
        </w:rPr>
      </w:pPr>
      <w:r w:rsidRPr="00A0639A">
        <w:rPr>
          <w:sz w:val="20"/>
          <w:szCs w:val="20"/>
        </w:rPr>
        <w:t>Юлія ГАСІЙ</w:t>
      </w:r>
    </w:p>
    <w:sectPr w:rsidR="00A0639A" w:rsidRPr="00A0639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3494D"/>
    <w:multiLevelType w:val="hybridMultilevel"/>
    <w:tmpl w:val="608C3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EA3234"/>
    <w:multiLevelType w:val="multilevel"/>
    <w:tmpl w:val="4CD28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DAF"/>
    <w:rsid w:val="0000777F"/>
    <w:rsid w:val="00094DFF"/>
    <w:rsid w:val="00104EAA"/>
    <w:rsid w:val="00115312"/>
    <w:rsid w:val="00142D69"/>
    <w:rsid w:val="0016785D"/>
    <w:rsid w:val="00192A41"/>
    <w:rsid w:val="00263DA7"/>
    <w:rsid w:val="00292A9E"/>
    <w:rsid w:val="00295C2C"/>
    <w:rsid w:val="00297DD0"/>
    <w:rsid w:val="002A32C3"/>
    <w:rsid w:val="00371AFE"/>
    <w:rsid w:val="0039726C"/>
    <w:rsid w:val="00441B2E"/>
    <w:rsid w:val="004A05D4"/>
    <w:rsid w:val="004C0223"/>
    <w:rsid w:val="00552D0D"/>
    <w:rsid w:val="00555096"/>
    <w:rsid w:val="005A5E26"/>
    <w:rsid w:val="005D0470"/>
    <w:rsid w:val="006004DD"/>
    <w:rsid w:val="00612603"/>
    <w:rsid w:val="0064478C"/>
    <w:rsid w:val="00654ACD"/>
    <w:rsid w:val="006B25C3"/>
    <w:rsid w:val="006E791D"/>
    <w:rsid w:val="0072129D"/>
    <w:rsid w:val="00767A61"/>
    <w:rsid w:val="0078086C"/>
    <w:rsid w:val="007C6331"/>
    <w:rsid w:val="00871FC5"/>
    <w:rsid w:val="008A016A"/>
    <w:rsid w:val="008A38D6"/>
    <w:rsid w:val="008B2BE3"/>
    <w:rsid w:val="008F079D"/>
    <w:rsid w:val="00960DAF"/>
    <w:rsid w:val="009E04BC"/>
    <w:rsid w:val="009E4F45"/>
    <w:rsid w:val="00A0639A"/>
    <w:rsid w:val="00A61358"/>
    <w:rsid w:val="00A65329"/>
    <w:rsid w:val="00B7033B"/>
    <w:rsid w:val="00BF6998"/>
    <w:rsid w:val="00CB7211"/>
    <w:rsid w:val="00CD0638"/>
    <w:rsid w:val="00CE01AD"/>
    <w:rsid w:val="00D23948"/>
    <w:rsid w:val="00D248B8"/>
    <w:rsid w:val="00D5391A"/>
    <w:rsid w:val="00DB0586"/>
    <w:rsid w:val="00DC0E7E"/>
    <w:rsid w:val="00DE669A"/>
    <w:rsid w:val="00E75E3F"/>
    <w:rsid w:val="00E8775B"/>
    <w:rsid w:val="00EE08C1"/>
    <w:rsid w:val="00EF0CEA"/>
    <w:rsid w:val="00F23BF5"/>
    <w:rsid w:val="00F25B57"/>
    <w:rsid w:val="00F61E4C"/>
    <w:rsid w:val="00FA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B586EAA2-EAD0-4323-BE99-54DA1E6BF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3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C633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75E3F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654ACD"/>
    <w:pPr>
      <w:spacing w:before="100" w:beforeAutospacing="1" w:after="100" w:afterAutospacing="1"/>
    </w:pPr>
    <w:rPr>
      <w:lang w:val="ru-RU"/>
    </w:rPr>
  </w:style>
  <w:style w:type="character" w:styleId="a6">
    <w:name w:val="Strong"/>
    <w:basedOn w:val="a0"/>
    <w:uiPriority w:val="22"/>
    <w:qFormat/>
    <w:rsid w:val="00654ACD"/>
    <w:rPr>
      <w:b/>
      <w:bCs/>
    </w:rPr>
  </w:style>
  <w:style w:type="character" w:styleId="a7">
    <w:name w:val="Emphasis"/>
    <w:basedOn w:val="a0"/>
    <w:uiPriority w:val="20"/>
    <w:qFormat/>
    <w:rsid w:val="00654ACD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A0639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0639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csspa@bucha-rada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4890</Words>
  <Characters>2788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</dc:creator>
  <cp:keywords/>
  <dc:description/>
  <cp:lastModifiedBy>User</cp:lastModifiedBy>
  <cp:revision>2</cp:revision>
  <cp:lastPrinted>2023-12-04T10:34:00Z</cp:lastPrinted>
  <dcterms:created xsi:type="dcterms:W3CDTF">2024-09-19T12:13:00Z</dcterms:created>
  <dcterms:modified xsi:type="dcterms:W3CDTF">2024-09-19T12:13:00Z</dcterms:modified>
</cp:coreProperties>
</file>